
<file path=[Content_Types].xml><?xml version="1.0" encoding="utf-8"?>
<Types xmlns="http://schemas.openxmlformats.org/package/2006/content-types">
  <Default Extension="jpg" ContentType="application/octet-stream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C70EB" w14:textId="3DDFC799" w:rsidR="00DB4F63" w:rsidRPr="005A6114" w:rsidRDefault="00C81710" w:rsidP="005A6114">
      <w:pPr>
        <w:pStyle w:val="TOC1RAIMAIN1"/>
      </w:pPr>
      <w:r>
        <w:t>Entitlements &gt;</w:t>
      </w:r>
      <w:r w:rsidRPr="005A6114">
        <w:t xml:space="preserve"> Enterprise Agreements</w:t>
      </w:r>
    </w:p>
    <w:p w14:paraId="67649813" w14:textId="11012E4B" w:rsidR="00DB4F63" w:rsidRPr="005A6114" w:rsidRDefault="00951FC9" w:rsidP="2CC9C9D9">
      <w:pPr>
        <w:rPr>
          <w:rFonts w:ascii="Poppins" w:hAnsi="Poppins" w:cs="Poppins"/>
          <w:i/>
          <w:iCs/>
        </w:rPr>
      </w:pPr>
      <w:r w:rsidRPr="2CC9C9D9">
        <w:rPr>
          <w:rFonts w:ascii="Poppins" w:hAnsi="Poppins" w:cs="Poppins"/>
          <w:i/>
          <w:iCs/>
          <w:lang w:val="en-US"/>
        </w:rPr>
        <w:t xml:space="preserve">This guide explains how to access and use the Enterprise Agreements section under the Entitlements </w:t>
      </w:r>
      <w:r w:rsidRPr="2CC9C9D9">
        <w:rPr>
          <w:rFonts w:ascii="Poppins" w:eastAsia="Poppins" w:hAnsi="Poppins" w:cs="Poppins"/>
          <w:i/>
          <w:iCs/>
          <w:lang w:val="en-US"/>
        </w:rPr>
        <w:t>menu</w:t>
      </w:r>
      <w:r w:rsidRPr="2CC9C9D9">
        <w:rPr>
          <w:rFonts w:ascii="Poppins" w:hAnsi="Poppins" w:cs="Poppins"/>
          <w:i/>
          <w:iCs/>
          <w:lang w:val="en-US"/>
        </w:rPr>
        <w:t>. It covers navigation, viewing license-based and maintenance-based agreements, using page controls and filters, and reviewing agreement-level details and transactions.</w:t>
      </w:r>
      <w:r w:rsidRPr="2CC9C9D9">
        <w:rPr>
          <w:rFonts w:ascii="Poppins" w:hAnsi="Poppins" w:cs="Poppins"/>
          <w:i/>
          <w:iCs/>
        </w:rPr>
        <w:t> </w:t>
      </w:r>
    </w:p>
    <w:p w14:paraId="1EDE084D" w14:textId="1B346FA4" w:rsidR="00DB4F63" w:rsidRPr="005A6114" w:rsidRDefault="50F2A592">
      <w:pPr>
        <w:pStyle w:val="Heading2"/>
        <w:rPr>
          <w:rFonts w:ascii="Poppins" w:hAnsi="Poppins" w:cs="Poppins"/>
        </w:rPr>
      </w:pPr>
      <w:r w:rsidRPr="2CC9C9D9">
        <w:rPr>
          <w:rFonts w:ascii="Poppins" w:eastAsiaTheme="minorEastAsia" w:hAnsi="Poppins" w:cs="Poppins"/>
          <w:color w:val="31A559"/>
        </w:rPr>
        <w:t xml:space="preserve">Access </w:t>
      </w:r>
      <w:r w:rsidR="00655D21" w:rsidRPr="2CC9C9D9">
        <w:rPr>
          <w:rFonts w:ascii="Poppins" w:eastAsiaTheme="minorEastAsia" w:hAnsi="Poppins" w:cs="Poppins"/>
          <w:color w:val="31A559"/>
        </w:rPr>
        <w:t xml:space="preserve">Enterprise Agreements </w:t>
      </w:r>
      <w:r w:rsidR="00C81710" w:rsidRPr="2CC9C9D9">
        <w:rPr>
          <w:rFonts w:ascii="Poppins" w:eastAsiaTheme="minorEastAsia" w:hAnsi="Poppins" w:cs="Poppins"/>
          <w:color w:val="31A559"/>
        </w:rPr>
        <w:t>S</w:t>
      </w:r>
      <w:r w:rsidR="00655D21" w:rsidRPr="2CC9C9D9">
        <w:rPr>
          <w:rFonts w:ascii="Poppins" w:eastAsiaTheme="minorEastAsia" w:hAnsi="Poppins" w:cs="Poppins"/>
          <w:color w:val="31A559"/>
        </w:rPr>
        <w:t>ection</w:t>
      </w:r>
      <w:r w:rsidR="00655D21" w:rsidRPr="2CC9C9D9">
        <w:rPr>
          <w:rFonts w:ascii="Poppins" w:hAnsi="Poppins" w:cs="Poppins"/>
          <w:color w:val="78716C"/>
        </w:rPr>
        <w:t xml:space="preserve">  </w:t>
      </w:r>
    </w:p>
    <w:p w14:paraId="46F13256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The </w:t>
      </w:r>
      <w:r w:rsidRPr="005A6114">
        <w:rPr>
          <w:rFonts w:ascii="Poppins" w:hAnsi="Poppins" w:cs="Poppins"/>
          <w:b/>
          <w:bCs/>
        </w:rPr>
        <w:t>Enterprise Agreements</w:t>
      </w:r>
      <w:r w:rsidRPr="005A6114">
        <w:rPr>
          <w:rFonts w:ascii="Poppins" w:hAnsi="Poppins" w:cs="Poppins"/>
        </w:rPr>
        <w:t xml:space="preserve"> section is located under the </w:t>
      </w:r>
      <w:r w:rsidRPr="005A6114">
        <w:rPr>
          <w:rFonts w:ascii="Poppins" w:hAnsi="Poppins" w:cs="Poppins"/>
          <w:b/>
          <w:bCs/>
        </w:rPr>
        <w:t>Entitlements</w:t>
      </w:r>
      <w:r w:rsidRPr="005A6114">
        <w:rPr>
          <w:rFonts w:ascii="Poppins" w:hAnsi="Poppins" w:cs="Poppins"/>
        </w:rPr>
        <w:t xml:space="preserve"> menu.</w:t>
      </w:r>
    </w:p>
    <w:p w14:paraId="2E24E835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At initial launch, this section is specifically for </w:t>
      </w:r>
      <w:r w:rsidRPr="005A6114">
        <w:rPr>
          <w:rFonts w:ascii="Poppins" w:hAnsi="Poppins" w:cs="Poppins"/>
          <w:b/>
          <w:bCs/>
        </w:rPr>
        <w:t>Cisco-only enterprise agreements</w:t>
      </w:r>
      <w:r w:rsidRPr="005A6114">
        <w:rPr>
          <w:rFonts w:ascii="Poppins" w:hAnsi="Poppins" w:cs="Poppins"/>
        </w:rPr>
        <w:t>. Additional OEMs will be added later.</w:t>
      </w:r>
    </w:p>
    <w:p w14:paraId="58ED005C" w14:textId="13DB9FB0" w:rsidR="00DB4F63" w:rsidRPr="005A6114" w:rsidRDefault="00A71777">
      <w:pPr>
        <w:rPr>
          <w:rFonts w:ascii="Poppins" w:hAnsi="Poppins" w:cs="Poppins"/>
        </w:rPr>
      </w:pPr>
      <w:r w:rsidRPr="00A71777">
        <w:rPr>
          <w:rFonts w:ascii="Poppins" w:hAnsi="Poppins" w:cs="Poppins"/>
          <w:lang w:val="en-US"/>
        </w:rPr>
        <w:t>To open the Enterprise Agreements page:</w:t>
      </w:r>
    </w:p>
    <w:p w14:paraId="6C04225F" w14:textId="45ABBD44" w:rsidR="00A71777" w:rsidRDefault="00C81710" w:rsidP="00A71777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>
        <w:rPr>
          <w:rFonts w:ascii="Poppins" w:hAnsi="Poppins" w:cs="Poppins"/>
        </w:rPr>
        <w:t>Navigate to</w:t>
      </w:r>
      <w:r w:rsidRPr="00A71777">
        <w:rPr>
          <w:rFonts w:ascii="Poppins" w:hAnsi="Poppins" w:cs="Poppins"/>
        </w:rPr>
        <w:t xml:space="preserve"> </w:t>
      </w:r>
      <w:r w:rsidRPr="00A71777">
        <w:rPr>
          <w:rFonts w:ascii="Poppins" w:hAnsi="Poppins" w:cs="Poppins"/>
          <w:b/>
          <w:bCs/>
        </w:rPr>
        <w:t>Entitlements</w:t>
      </w:r>
      <w:r w:rsidRPr="00A71777">
        <w:rPr>
          <w:rFonts w:ascii="Poppins" w:hAnsi="Poppins" w:cs="Poppins"/>
        </w:rPr>
        <w:t>.</w:t>
      </w:r>
    </w:p>
    <w:p w14:paraId="4E9E6123" w14:textId="02F42A37" w:rsidR="00A71777" w:rsidRDefault="00655D21" w:rsidP="00A71777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Click </w:t>
      </w:r>
      <w:r w:rsidRPr="00A71777">
        <w:rPr>
          <w:rFonts w:ascii="Poppins" w:hAnsi="Poppins" w:cs="Poppins"/>
          <w:b/>
          <w:bCs/>
        </w:rPr>
        <w:t>Enterprise Agreements</w:t>
      </w:r>
      <w:r w:rsidRPr="00A71777">
        <w:rPr>
          <w:rFonts w:ascii="Poppins" w:hAnsi="Poppins" w:cs="Poppins"/>
        </w:rPr>
        <w:t>.</w:t>
      </w:r>
    </w:p>
    <w:p w14:paraId="06AC1B1F" w14:textId="17A0A252" w:rsidR="00C2126A" w:rsidRDefault="00C2126A" w:rsidP="00C2126A">
      <w:pPr>
        <w:pStyle w:val="ListParagraph"/>
        <w:rPr>
          <w:rFonts w:ascii="Poppins" w:hAnsi="Poppins" w:cs="Poppins"/>
        </w:rPr>
      </w:pPr>
      <w:r w:rsidRPr="00C2126A">
        <w:rPr>
          <w:rFonts w:ascii="Poppins" w:hAnsi="Poppins" w:cs="Poppins"/>
          <w:noProof/>
        </w:rPr>
        <w:drawing>
          <wp:inline distT="0" distB="0" distL="0" distR="0" wp14:anchorId="087FD46C" wp14:editId="02082615">
            <wp:extent cx="4671237" cy="2289558"/>
            <wp:effectExtent l="0" t="0" r="0" b="0"/>
            <wp:docPr id="2105510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1010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2876" cy="22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1BB9" w14:textId="77777777" w:rsidR="008E2DC2" w:rsidRPr="00A71777" w:rsidRDefault="008E2DC2" w:rsidP="00C2126A">
      <w:pPr>
        <w:pStyle w:val="ListParagraph"/>
        <w:rPr>
          <w:rFonts w:ascii="Poppins" w:hAnsi="Poppins" w:cs="Poppins"/>
        </w:rPr>
      </w:pPr>
    </w:p>
    <w:p w14:paraId="527D3B0B" w14:textId="48B1D1F8" w:rsidR="00DB4F63" w:rsidRDefault="00A71777" w:rsidP="00A71777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 w:rsidRPr="56570324">
        <w:rPr>
          <w:rFonts w:ascii="Poppins" w:hAnsi="Poppins" w:cs="Poppins"/>
          <w:lang w:val="en-US"/>
        </w:rPr>
        <w:t xml:space="preserve">A list of all </w:t>
      </w:r>
      <w:r w:rsidR="0B6BB0F5" w:rsidRPr="56570324">
        <w:rPr>
          <w:rFonts w:ascii="Poppins" w:hAnsi="Poppins" w:cs="Poppins"/>
          <w:lang w:val="en-US"/>
        </w:rPr>
        <w:t>E</w:t>
      </w:r>
      <w:r w:rsidRPr="56570324">
        <w:rPr>
          <w:rFonts w:ascii="Poppins" w:hAnsi="Poppins" w:cs="Poppins"/>
          <w:lang w:val="en-US"/>
        </w:rPr>
        <w:t xml:space="preserve">nterprise </w:t>
      </w:r>
      <w:r w:rsidR="51685EA0" w:rsidRPr="56570324">
        <w:rPr>
          <w:rFonts w:ascii="Poppins" w:hAnsi="Poppins" w:cs="Poppins"/>
          <w:lang w:val="en-US"/>
        </w:rPr>
        <w:t>A</w:t>
      </w:r>
      <w:r w:rsidRPr="56570324">
        <w:rPr>
          <w:rFonts w:ascii="Poppins" w:hAnsi="Poppins" w:cs="Poppins"/>
          <w:lang w:val="en-US"/>
        </w:rPr>
        <w:t>greements currently available to you is displayed.</w:t>
      </w:r>
      <w:r w:rsidRPr="56570324">
        <w:rPr>
          <w:rFonts w:ascii="Poppins" w:hAnsi="Poppins" w:cs="Poppins"/>
        </w:rPr>
        <w:t> </w:t>
      </w:r>
    </w:p>
    <w:p w14:paraId="14D06C4C" w14:textId="7DE3584C" w:rsidR="00C2126A" w:rsidRPr="00A71777" w:rsidRDefault="00C2126A" w:rsidP="00C2126A">
      <w:pPr>
        <w:pStyle w:val="ListParagraph"/>
        <w:rPr>
          <w:rFonts w:ascii="Poppins" w:hAnsi="Poppins" w:cs="Poppins"/>
        </w:rPr>
      </w:pPr>
      <w:r w:rsidRPr="00C2126A">
        <w:rPr>
          <w:rFonts w:ascii="Poppins" w:hAnsi="Poppins" w:cs="Poppins"/>
          <w:noProof/>
        </w:rPr>
        <w:drawing>
          <wp:inline distT="0" distB="0" distL="0" distR="0" wp14:anchorId="15BF5239" wp14:editId="13B052B3">
            <wp:extent cx="4664149" cy="2195654"/>
            <wp:effectExtent l="0" t="0" r="3175" b="0"/>
            <wp:docPr id="18337727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7270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5574" cy="220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B17D" w14:textId="7CF8260B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 xml:space="preserve">Enterprise Agreements </w:t>
      </w:r>
      <w:r w:rsidR="00917DD9">
        <w:rPr>
          <w:rFonts w:ascii="Poppins" w:hAnsi="Poppins" w:cs="Poppins"/>
          <w:i/>
          <w:iCs/>
          <w:color w:val="57534E"/>
          <w:sz w:val="18"/>
          <w:szCs w:val="18"/>
        </w:rPr>
        <w:t>table</w:t>
      </w: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 xml:space="preserve"> </w:t>
      </w:r>
    </w:p>
    <w:p w14:paraId="272BED44" w14:textId="77777777" w:rsidR="00DB4F63" w:rsidRPr="005A6114" w:rsidRDefault="00DB4F63">
      <w:pPr>
        <w:rPr>
          <w:rFonts w:ascii="Poppins" w:hAnsi="Poppins" w:cs="Poppins"/>
        </w:rPr>
      </w:pPr>
    </w:p>
    <w:p w14:paraId="5B3A0FE9" w14:textId="5B7FD624" w:rsidR="00DB4F63" w:rsidRPr="005A6114" w:rsidRDefault="00C81710">
      <w:pPr>
        <w:pStyle w:val="Heading2"/>
        <w:rPr>
          <w:rFonts w:ascii="Poppins" w:hAnsi="Poppins" w:cs="Poppins"/>
        </w:rPr>
      </w:pPr>
      <w:r w:rsidRPr="1E5AC2F7">
        <w:rPr>
          <w:rFonts w:ascii="Poppins" w:eastAsiaTheme="minorEastAsia" w:hAnsi="Poppins" w:cs="Poppins"/>
          <w:color w:val="31A559"/>
        </w:rPr>
        <w:t>Switch</w:t>
      </w:r>
      <w:r w:rsidR="11C5D90A" w:rsidRPr="1E5AC2F7">
        <w:rPr>
          <w:rFonts w:ascii="Poppins" w:eastAsiaTheme="minorEastAsia" w:hAnsi="Poppins" w:cs="Poppins"/>
          <w:color w:val="31A559"/>
        </w:rPr>
        <w:t>ing</w:t>
      </w:r>
      <w:r w:rsidRPr="1E5AC2F7">
        <w:rPr>
          <w:rFonts w:ascii="Poppins" w:eastAsiaTheme="minorEastAsia" w:hAnsi="Poppins" w:cs="Poppins"/>
          <w:color w:val="31A559"/>
        </w:rPr>
        <w:t xml:space="preserve"> Between License-Based and Maintenance-Based Agreements</w:t>
      </w:r>
      <w:r w:rsidRPr="1E5AC2F7">
        <w:rPr>
          <w:rFonts w:ascii="Poppins" w:hAnsi="Poppins" w:cs="Poppins"/>
          <w:color w:val="78716C"/>
        </w:rPr>
        <w:t xml:space="preserve">   </w:t>
      </w:r>
    </w:p>
    <w:p w14:paraId="67896776" w14:textId="45A7400A" w:rsidR="00A71777" w:rsidRPr="00A71777" w:rsidRDefault="00A71777" w:rsidP="00A71777">
      <w:pPr>
        <w:rPr>
          <w:rFonts w:ascii="Poppins" w:hAnsi="Poppins" w:cs="Poppins"/>
        </w:rPr>
      </w:pPr>
      <w:r w:rsidRPr="00A71777">
        <w:rPr>
          <w:rFonts w:ascii="Poppins" w:hAnsi="Poppins" w:cs="Poppins"/>
          <w:lang w:val="en-US"/>
        </w:rPr>
        <w:t xml:space="preserve">Enterprise </w:t>
      </w:r>
      <w:r w:rsidR="00917DD9">
        <w:rPr>
          <w:rFonts w:ascii="Poppins" w:hAnsi="Poppins" w:cs="Poppins"/>
          <w:lang w:val="en-US"/>
        </w:rPr>
        <w:t>A</w:t>
      </w:r>
      <w:r w:rsidRPr="00A71777">
        <w:rPr>
          <w:rFonts w:ascii="Poppins" w:hAnsi="Poppins" w:cs="Poppins"/>
          <w:lang w:val="en-US"/>
        </w:rPr>
        <w:t>greements can be viewed in two categories:</w:t>
      </w:r>
      <w:r w:rsidRPr="00A71777">
        <w:rPr>
          <w:rFonts w:ascii="Poppins" w:hAnsi="Poppins" w:cs="Poppins"/>
        </w:rPr>
        <w:t> </w:t>
      </w:r>
    </w:p>
    <w:p w14:paraId="1D530B76" w14:textId="77777777" w:rsidR="00A71777" w:rsidRPr="00A71777" w:rsidRDefault="00A71777" w:rsidP="00A71777">
      <w:pPr>
        <w:numPr>
          <w:ilvl w:val="0"/>
          <w:numId w:val="3"/>
        </w:numPr>
        <w:rPr>
          <w:rFonts w:ascii="Poppins" w:hAnsi="Poppins" w:cs="Poppins"/>
        </w:rPr>
      </w:pPr>
      <w:r w:rsidRPr="00A71777">
        <w:rPr>
          <w:rFonts w:ascii="Poppins" w:hAnsi="Poppins" w:cs="Poppins"/>
          <w:lang w:val="en-US"/>
        </w:rPr>
        <w:t>License-based enterprise agreements</w:t>
      </w:r>
      <w:r w:rsidRPr="00A71777">
        <w:rPr>
          <w:rFonts w:ascii="Poppins" w:hAnsi="Poppins" w:cs="Poppins"/>
        </w:rPr>
        <w:t> </w:t>
      </w:r>
    </w:p>
    <w:p w14:paraId="15EB6F6F" w14:textId="77777777" w:rsidR="00A71777" w:rsidRPr="00A71777" w:rsidRDefault="00A71777" w:rsidP="00A71777">
      <w:pPr>
        <w:numPr>
          <w:ilvl w:val="0"/>
          <w:numId w:val="4"/>
        </w:numPr>
        <w:rPr>
          <w:rFonts w:ascii="Poppins" w:hAnsi="Poppins" w:cs="Poppins"/>
        </w:rPr>
      </w:pPr>
      <w:r w:rsidRPr="00A71777">
        <w:rPr>
          <w:rFonts w:ascii="Poppins" w:hAnsi="Poppins" w:cs="Poppins"/>
          <w:lang w:val="en-US"/>
        </w:rPr>
        <w:t>Maintenance-based enterprise agreements</w:t>
      </w:r>
      <w:r w:rsidRPr="00A71777">
        <w:rPr>
          <w:rFonts w:ascii="Poppins" w:hAnsi="Poppins" w:cs="Poppins"/>
        </w:rPr>
        <w:t> </w:t>
      </w:r>
    </w:p>
    <w:p w14:paraId="041EA655" w14:textId="3839408C" w:rsidR="00A71777" w:rsidRPr="00A71777" w:rsidRDefault="00A71777" w:rsidP="00A71777">
      <w:pPr>
        <w:rPr>
          <w:rFonts w:ascii="Poppins" w:hAnsi="Poppins" w:cs="Poppins"/>
        </w:rPr>
      </w:pPr>
      <w:r w:rsidRPr="648B6756">
        <w:rPr>
          <w:rFonts w:ascii="Poppins" w:hAnsi="Poppins" w:cs="Poppins"/>
          <w:lang w:val="en-US"/>
        </w:rPr>
        <w:t xml:space="preserve">Use the </w:t>
      </w:r>
      <w:r w:rsidR="00917DD9" w:rsidRPr="648B6756">
        <w:rPr>
          <w:rFonts w:ascii="Poppins" w:hAnsi="Poppins" w:cs="Poppins"/>
          <w:lang w:val="en-US"/>
        </w:rPr>
        <w:t>Q</w:t>
      </w:r>
      <w:r w:rsidRPr="648B6756">
        <w:rPr>
          <w:rFonts w:ascii="Poppins" w:hAnsi="Poppins" w:cs="Poppins"/>
          <w:lang w:val="en-US"/>
        </w:rPr>
        <w:t xml:space="preserve">uick </w:t>
      </w:r>
      <w:r w:rsidR="00917DD9" w:rsidRPr="648B6756">
        <w:rPr>
          <w:rFonts w:ascii="Poppins" w:hAnsi="Poppins" w:cs="Poppins"/>
          <w:lang w:val="en-US"/>
        </w:rPr>
        <w:t>Fi</w:t>
      </w:r>
      <w:r w:rsidRPr="648B6756">
        <w:rPr>
          <w:rFonts w:ascii="Poppins" w:hAnsi="Poppins" w:cs="Poppins"/>
          <w:lang w:val="en-US"/>
        </w:rPr>
        <w:t>lters at the top of the page to toggle between license and maintenance views.</w:t>
      </w:r>
      <w:r w:rsidRPr="648B6756">
        <w:rPr>
          <w:rFonts w:ascii="Poppins" w:hAnsi="Poppins" w:cs="Poppins"/>
        </w:rPr>
        <w:t> </w:t>
      </w:r>
      <w:r w:rsidR="3D8C1DA6" w:rsidRPr="648B6756">
        <w:rPr>
          <w:rFonts w:ascii="Poppins" w:hAnsi="Poppins" w:cs="Poppins"/>
        </w:rPr>
        <w:t xml:space="preserve">  Not all data fields are available for all EA types.</w:t>
      </w:r>
    </w:p>
    <w:p w14:paraId="5F1A7746" w14:textId="446CA9C0" w:rsidR="00DB4F63" w:rsidRPr="005A6114" w:rsidRDefault="03304998" w:rsidP="1E5AC2F7">
      <w:pPr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17B90138" wp14:editId="33E5C76E">
            <wp:extent cx="5005876" cy="2473544"/>
            <wp:effectExtent l="0" t="0" r="0" b="0"/>
            <wp:docPr id="2073459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5973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5876" cy="247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A84D" w14:textId="04DC06EB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Quick filters used to switch between license and maintenance</w:t>
      </w:r>
    </w:p>
    <w:p w14:paraId="6B6B4CB7" w14:textId="77777777" w:rsidR="00DB4F63" w:rsidRPr="005A6114" w:rsidRDefault="00DB4F63">
      <w:pPr>
        <w:rPr>
          <w:rFonts w:ascii="Poppins" w:hAnsi="Poppins" w:cs="Poppins"/>
        </w:rPr>
      </w:pPr>
    </w:p>
    <w:p w14:paraId="0E6AF1E8" w14:textId="41AF0098" w:rsidR="00DB4F63" w:rsidRPr="005A6114" w:rsidRDefault="008E2DC2">
      <w:pPr>
        <w:pStyle w:val="Heading2"/>
        <w:rPr>
          <w:rFonts w:ascii="Poppins" w:hAnsi="Poppins" w:cs="Poppins"/>
        </w:rPr>
      </w:pPr>
      <w:r>
        <w:rPr>
          <w:rFonts w:ascii="Poppins" w:eastAsiaTheme="minorHAnsi" w:hAnsi="Poppins" w:cs="Poppins"/>
          <w:bCs/>
          <w:color w:val="31A559"/>
        </w:rPr>
        <w:t>Enterprise Agreement View</w:t>
      </w:r>
    </w:p>
    <w:p w14:paraId="37CF1AA3" w14:textId="43543404" w:rsidR="00DB4F63" w:rsidRPr="005A6114" w:rsidRDefault="09E3D09D">
      <w:pPr>
        <w:rPr>
          <w:rFonts w:ascii="Poppins" w:hAnsi="Poppins" w:cs="Poppins"/>
        </w:rPr>
      </w:pPr>
      <w:r w:rsidRPr="1E5AC2F7">
        <w:rPr>
          <w:rFonts w:ascii="Poppins" w:hAnsi="Poppins" w:cs="Poppins"/>
        </w:rPr>
        <w:t>After you select</w:t>
      </w:r>
      <w:r w:rsidRPr="1E5AC2F7">
        <w:rPr>
          <w:rFonts w:ascii="Poppins" w:hAnsi="Poppins" w:cs="Poppins"/>
          <w:b/>
          <w:bCs/>
        </w:rPr>
        <w:t xml:space="preserve"> Agreement Type</w:t>
      </w:r>
      <w:r w:rsidRPr="1E5AC2F7">
        <w:rPr>
          <w:rFonts w:ascii="Poppins" w:hAnsi="Poppins" w:cs="Poppins"/>
        </w:rPr>
        <w:t xml:space="preserve"> as </w:t>
      </w:r>
      <w:r w:rsidRPr="1E5AC2F7">
        <w:rPr>
          <w:rFonts w:ascii="Poppins" w:hAnsi="Poppins" w:cs="Poppins"/>
          <w:b/>
          <w:bCs/>
        </w:rPr>
        <w:t>Licence,</w:t>
      </w:r>
      <w:r w:rsidRPr="1E5AC2F7">
        <w:rPr>
          <w:rFonts w:ascii="Poppins" w:hAnsi="Poppins" w:cs="Poppins"/>
        </w:rPr>
        <w:t xml:space="preserve"> it will open </w:t>
      </w:r>
      <w:r w:rsidR="209DEBE9" w:rsidRPr="1E5AC2F7">
        <w:rPr>
          <w:rFonts w:ascii="Poppins" w:hAnsi="Poppins" w:cs="Poppins"/>
        </w:rPr>
        <w:t xml:space="preserve">a </w:t>
      </w:r>
      <w:r w:rsidRPr="1E5AC2F7">
        <w:rPr>
          <w:rFonts w:ascii="Poppins" w:hAnsi="Poppins" w:cs="Poppins"/>
        </w:rPr>
        <w:t xml:space="preserve">page with the </w:t>
      </w:r>
      <w:r w:rsidRPr="1E5AC2F7">
        <w:rPr>
          <w:rFonts w:ascii="Poppins" w:hAnsi="Poppins" w:cs="Poppins"/>
          <w:b/>
          <w:bCs/>
        </w:rPr>
        <w:t>list of Enterprise Agreements.</w:t>
      </w:r>
      <w:r w:rsidR="59C3A313" w:rsidRPr="1E5AC2F7">
        <w:rPr>
          <w:rFonts w:ascii="Poppins" w:hAnsi="Poppins" w:cs="Poppins"/>
          <w:b/>
          <w:bCs/>
        </w:rPr>
        <w:t xml:space="preserve"> </w:t>
      </w:r>
      <w:r w:rsidR="59C3A313" w:rsidRPr="1E5AC2F7">
        <w:rPr>
          <w:rFonts w:ascii="Poppins" w:hAnsi="Poppins" w:cs="Poppins"/>
        </w:rPr>
        <w:t>T</w:t>
      </w:r>
      <w:r w:rsidRPr="1E5AC2F7">
        <w:rPr>
          <w:rFonts w:ascii="Poppins" w:hAnsi="Poppins" w:cs="Poppins"/>
        </w:rPr>
        <w:t xml:space="preserve">he page </w:t>
      </w:r>
      <w:r w:rsidR="559D0BE6" w:rsidRPr="1E5AC2F7">
        <w:rPr>
          <w:rFonts w:ascii="Poppins" w:hAnsi="Poppins" w:cs="Poppins"/>
        </w:rPr>
        <w:t>offers</w:t>
      </w:r>
      <w:r w:rsidRPr="1E5AC2F7">
        <w:rPr>
          <w:rFonts w:ascii="Poppins" w:hAnsi="Poppins" w:cs="Poppins"/>
        </w:rPr>
        <w:t xml:space="preserve"> </w:t>
      </w:r>
      <w:r w:rsidR="68EA3837" w:rsidRPr="1E5AC2F7">
        <w:rPr>
          <w:rFonts w:ascii="Poppins" w:hAnsi="Poppins" w:cs="Poppins"/>
        </w:rPr>
        <w:t>stand</w:t>
      </w:r>
      <w:r w:rsidR="0E7295DA" w:rsidRPr="1E5AC2F7">
        <w:rPr>
          <w:rFonts w:ascii="Poppins" w:hAnsi="Poppins" w:cs="Poppins"/>
        </w:rPr>
        <w:t>ard</w:t>
      </w:r>
      <w:r w:rsidRPr="1E5AC2F7">
        <w:rPr>
          <w:rFonts w:ascii="Poppins" w:hAnsi="Poppins" w:cs="Poppins"/>
        </w:rPr>
        <w:t xml:space="preserve"> </w:t>
      </w:r>
      <w:r w:rsidR="03304998" w:rsidRPr="1E5AC2F7">
        <w:rPr>
          <w:rFonts w:ascii="Poppins" w:hAnsi="Poppins" w:cs="Poppins"/>
        </w:rPr>
        <w:t xml:space="preserve">NexaONE </w:t>
      </w:r>
      <w:r w:rsidRPr="1E5AC2F7">
        <w:rPr>
          <w:rFonts w:ascii="Poppins" w:hAnsi="Poppins" w:cs="Poppins"/>
        </w:rPr>
        <w:t xml:space="preserve">capabilities, </w:t>
      </w:r>
      <w:r w:rsidR="1911B93A" w:rsidRPr="1E5AC2F7">
        <w:rPr>
          <w:rFonts w:ascii="Poppins" w:hAnsi="Poppins" w:cs="Poppins"/>
        </w:rPr>
        <w:t xml:space="preserve">such as </w:t>
      </w:r>
      <w:r w:rsidRPr="1E5AC2F7">
        <w:rPr>
          <w:rFonts w:ascii="Poppins" w:hAnsi="Poppins" w:cs="Poppins"/>
        </w:rPr>
        <w:t xml:space="preserve">the ability to change and organize </w:t>
      </w:r>
      <w:r w:rsidR="000B6B11" w:rsidRPr="1E5AC2F7">
        <w:rPr>
          <w:rFonts w:ascii="Poppins" w:hAnsi="Poppins" w:cs="Poppins"/>
        </w:rPr>
        <w:t>fields</w:t>
      </w:r>
      <w:r w:rsidRPr="1E5AC2F7">
        <w:rPr>
          <w:rFonts w:ascii="Poppins" w:hAnsi="Poppins" w:cs="Poppins"/>
        </w:rPr>
        <w:t>.</w:t>
      </w:r>
    </w:p>
    <w:p w14:paraId="1F3DB263" w14:textId="5F93979F" w:rsidR="00DB4F63" w:rsidRPr="008E2DC2" w:rsidRDefault="00655D21" w:rsidP="008E2DC2">
      <w:pPr>
        <w:rPr>
          <w:rFonts w:ascii="Poppins" w:hAnsi="Poppins" w:cs="Poppins"/>
        </w:rPr>
      </w:pPr>
      <w:r w:rsidRPr="008E2DC2">
        <w:rPr>
          <w:rFonts w:ascii="Poppins" w:hAnsi="Poppins" w:cs="Poppins"/>
        </w:rPr>
        <w:t xml:space="preserve">Available capabilities </w:t>
      </w:r>
      <w:r w:rsidR="00A71777" w:rsidRPr="008E2DC2">
        <w:rPr>
          <w:rFonts w:ascii="Poppins" w:hAnsi="Poppins" w:cs="Poppins"/>
        </w:rPr>
        <w:t>include:</w:t>
      </w:r>
    </w:p>
    <w:p w14:paraId="29077F8B" w14:textId="77777777" w:rsidR="00A71777" w:rsidRPr="00A71777" w:rsidRDefault="00A71777" w:rsidP="00A71777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Changing displayed fields </w:t>
      </w:r>
    </w:p>
    <w:p w14:paraId="1FB4B64A" w14:textId="77777777" w:rsidR="00A71777" w:rsidRPr="00A71777" w:rsidRDefault="00A71777" w:rsidP="00A71777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Organizing field order </w:t>
      </w:r>
    </w:p>
    <w:p w14:paraId="72C1F099" w14:textId="77777777" w:rsidR="00A71777" w:rsidRPr="00A71777" w:rsidRDefault="00A71777" w:rsidP="00A71777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Switching to compact view </w:t>
      </w:r>
    </w:p>
    <w:p w14:paraId="153814DF" w14:textId="77777777" w:rsidR="00A71777" w:rsidRPr="00A71777" w:rsidRDefault="00A71777" w:rsidP="00A71777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Switching to full screen view </w:t>
      </w:r>
    </w:p>
    <w:p w14:paraId="23856915" w14:textId="77777777" w:rsidR="00A71777" w:rsidRPr="00A71777" w:rsidRDefault="00A71777" w:rsidP="00A71777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Exporting filtered data to CSV or Excel </w:t>
      </w:r>
    </w:p>
    <w:p w14:paraId="501D1BB3" w14:textId="77777777" w:rsidR="00A71777" w:rsidRPr="00A71777" w:rsidRDefault="00A71777" w:rsidP="00A71777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A71777">
        <w:rPr>
          <w:rFonts w:ascii="Poppins" w:hAnsi="Poppins" w:cs="Poppins"/>
        </w:rPr>
        <w:t xml:space="preserve">Applying advanced filters </w:t>
      </w:r>
    </w:p>
    <w:p w14:paraId="6592FD9A" w14:textId="73065241" w:rsidR="00A71777" w:rsidRDefault="00A71777" w:rsidP="648B6756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648B6756">
        <w:rPr>
          <w:rFonts w:ascii="Poppins" w:hAnsi="Poppins" w:cs="Poppins"/>
        </w:rPr>
        <w:t xml:space="preserve">Applying quick filters </w:t>
      </w:r>
    </w:p>
    <w:p w14:paraId="3E32E997" w14:textId="223C2D9D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Filters </w:t>
      </w:r>
      <w:r w:rsidR="00475194">
        <w:rPr>
          <w:rFonts w:ascii="Poppins" w:hAnsi="Poppins" w:cs="Poppins"/>
        </w:rPr>
        <w:t>allow users to</w:t>
      </w:r>
      <w:r w:rsidRPr="005A6114">
        <w:rPr>
          <w:rFonts w:ascii="Poppins" w:hAnsi="Poppins" w:cs="Poppins"/>
        </w:rPr>
        <w:t>:</w:t>
      </w:r>
    </w:p>
    <w:p w14:paraId="42382D1B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Search directly, or</w:t>
      </w:r>
    </w:p>
    <w:p w14:paraId="00274A31" w14:textId="77777777" w:rsidR="00DB4F63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Select from a dropdown list to filter to a specific item</w:t>
      </w:r>
    </w:p>
    <w:p w14:paraId="471E6C8E" w14:textId="5743133E" w:rsidR="0051712E" w:rsidRPr="005A6114" w:rsidRDefault="6744F7F7" w:rsidP="1E5AC2F7">
      <w:pPr>
        <w:pStyle w:val="ListParagraph"/>
        <w:jc w:val="both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43461D92" wp14:editId="5C5EFB7A">
            <wp:extent cx="4950806" cy="2442493"/>
            <wp:effectExtent l="0" t="0" r="0" b="0"/>
            <wp:docPr id="1586326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2618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0806" cy="24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F12D" w14:textId="79AEA258" w:rsidR="00DB4F63" w:rsidRPr="005A6114" w:rsidRDefault="00A71777">
      <w:pPr>
        <w:rPr>
          <w:rFonts w:ascii="Poppins" w:hAnsi="Poppins" w:cs="Poppins"/>
        </w:rPr>
      </w:pPr>
      <w:r>
        <w:rPr>
          <w:rFonts w:ascii="Poppins" w:hAnsi="Poppins" w:cs="Poppins"/>
          <w:lang w:val="en-US"/>
        </w:rPr>
        <w:t>Also, a</w:t>
      </w:r>
      <w:r w:rsidRPr="00A71777">
        <w:rPr>
          <w:rFonts w:ascii="Poppins" w:hAnsi="Poppins" w:cs="Poppins"/>
          <w:lang w:val="en-US"/>
        </w:rPr>
        <w:t>dvanced filters, quick filters and the contextual search bar can be used together.</w:t>
      </w:r>
    </w:p>
    <w:p w14:paraId="6DD11560" w14:textId="094AF991" w:rsidR="00DB4F63" w:rsidRPr="005A6114" w:rsidRDefault="00876F0C">
      <w:pPr>
        <w:pStyle w:val="Heading2"/>
        <w:rPr>
          <w:rFonts w:ascii="Poppins" w:hAnsi="Poppins" w:cs="Poppins"/>
        </w:rPr>
      </w:pPr>
      <w:r>
        <w:rPr>
          <w:rFonts w:ascii="Poppins" w:eastAsiaTheme="minorHAnsi" w:hAnsi="Poppins" w:cs="Poppins"/>
          <w:bCs/>
          <w:color w:val="31A559"/>
        </w:rPr>
        <w:t>E</w:t>
      </w:r>
      <w:r w:rsidRPr="005A6114">
        <w:rPr>
          <w:rFonts w:ascii="Poppins" w:eastAsiaTheme="minorHAnsi" w:hAnsi="Poppins" w:cs="Poppins"/>
          <w:bCs/>
          <w:color w:val="31A559"/>
        </w:rPr>
        <w:t xml:space="preserve">nterprise </w:t>
      </w:r>
      <w:r>
        <w:rPr>
          <w:rFonts w:ascii="Poppins" w:eastAsiaTheme="minorHAnsi" w:hAnsi="Poppins" w:cs="Poppins"/>
          <w:bCs/>
          <w:color w:val="31A559"/>
        </w:rPr>
        <w:t>A</w:t>
      </w:r>
      <w:r w:rsidRPr="005A6114">
        <w:rPr>
          <w:rFonts w:ascii="Poppins" w:eastAsiaTheme="minorHAnsi" w:hAnsi="Poppins" w:cs="Poppins"/>
          <w:bCs/>
          <w:color w:val="31A559"/>
        </w:rPr>
        <w:t xml:space="preserve">greement </w:t>
      </w:r>
      <w:r w:rsidR="000A3033">
        <w:rPr>
          <w:rFonts w:ascii="Poppins" w:eastAsiaTheme="minorHAnsi" w:hAnsi="Poppins" w:cs="Poppins"/>
          <w:bCs/>
          <w:color w:val="31A559"/>
        </w:rPr>
        <w:t xml:space="preserve">- </w:t>
      </w:r>
      <w:r w:rsidR="000A3033" w:rsidRPr="005A6114">
        <w:rPr>
          <w:rFonts w:ascii="Poppins" w:eastAsiaTheme="minorHAnsi" w:hAnsi="Poppins" w:cs="Poppins"/>
          <w:bCs/>
          <w:color w:val="31A559"/>
        </w:rPr>
        <w:t>Detailed</w:t>
      </w:r>
      <w:r w:rsidRPr="005A6114">
        <w:rPr>
          <w:rFonts w:ascii="Poppins" w:eastAsiaTheme="minorHAnsi" w:hAnsi="Poppins" w:cs="Poppins"/>
          <w:bCs/>
          <w:color w:val="31A559"/>
        </w:rPr>
        <w:t xml:space="preserve"> </w:t>
      </w:r>
      <w:r>
        <w:rPr>
          <w:rFonts w:ascii="Poppins" w:eastAsiaTheme="minorHAnsi" w:hAnsi="Poppins" w:cs="Poppins"/>
          <w:bCs/>
          <w:color w:val="31A559"/>
        </w:rPr>
        <w:t>I</w:t>
      </w:r>
      <w:r w:rsidRPr="005A6114">
        <w:rPr>
          <w:rFonts w:ascii="Poppins" w:eastAsiaTheme="minorHAnsi" w:hAnsi="Poppins" w:cs="Poppins"/>
          <w:bCs/>
          <w:color w:val="31A559"/>
        </w:rPr>
        <w:t>nformation</w:t>
      </w:r>
      <w:r w:rsidRPr="005A6114">
        <w:rPr>
          <w:rFonts w:ascii="Poppins" w:hAnsi="Poppins" w:cs="Poppins"/>
          <w:color w:val="78716C"/>
        </w:rPr>
        <w:t xml:space="preserve">   </w:t>
      </w:r>
    </w:p>
    <w:p w14:paraId="4245E8B5" w14:textId="77777777" w:rsidR="00DB4F63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You can drill into any enterprise agreement item to see a more detailed view.</w:t>
      </w:r>
    </w:p>
    <w:p w14:paraId="122C8B30" w14:textId="6164E665" w:rsidR="0051712E" w:rsidRPr="005A6114" w:rsidRDefault="6744F7F7" w:rsidP="1E5AC2F7">
      <w:pPr>
        <w:jc w:val="both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76E79491" wp14:editId="5F85AF18">
            <wp:extent cx="5268071" cy="2681895"/>
            <wp:effectExtent l="0" t="0" r="0" b="0"/>
            <wp:docPr id="13308874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8740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071" cy="2681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FD3AA1" w14:textId="5093B9BD" w:rsidR="00DB4F63" w:rsidRPr="005A6114" w:rsidRDefault="00655D21">
      <w:pPr>
        <w:rPr>
          <w:rFonts w:ascii="Poppins" w:hAnsi="Poppins" w:cs="Poppins"/>
        </w:rPr>
      </w:pPr>
      <w:r w:rsidRPr="71F486FB">
        <w:rPr>
          <w:rFonts w:ascii="Poppins" w:hAnsi="Poppins" w:cs="Poppins"/>
        </w:rPr>
        <w:t>On the detail</w:t>
      </w:r>
      <w:r w:rsidR="7C9D0894" w:rsidRPr="71F486FB">
        <w:rPr>
          <w:rFonts w:ascii="Poppins" w:hAnsi="Poppins" w:cs="Poppins"/>
        </w:rPr>
        <w:t xml:space="preserve">s </w:t>
      </w:r>
      <w:r w:rsidRPr="71F486FB">
        <w:rPr>
          <w:rFonts w:ascii="Poppins" w:hAnsi="Poppins" w:cs="Poppins"/>
        </w:rPr>
        <w:t>page, you can see:</w:t>
      </w:r>
    </w:p>
    <w:p w14:paraId="23BEE1EC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A list of </w:t>
      </w:r>
      <w:r w:rsidRPr="005A6114">
        <w:rPr>
          <w:rFonts w:ascii="Poppins" w:hAnsi="Poppins" w:cs="Poppins"/>
          <w:b/>
          <w:bCs/>
        </w:rPr>
        <w:t>KPIs</w:t>
      </w:r>
      <w:r w:rsidRPr="005A6114">
        <w:rPr>
          <w:rFonts w:ascii="Poppins" w:hAnsi="Poppins" w:cs="Poppins"/>
        </w:rPr>
        <w:t xml:space="preserve"> or key features for that item within the EA suite</w:t>
      </w:r>
    </w:p>
    <w:p w14:paraId="6CEDCD62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The suite name shown in the example: </w:t>
      </w:r>
      <w:r w:rsidRPr="005A6114">
        <w:rPr>
          <w:rFonts w:ascii="Poppins" w:hAnsi="Poppins" w:cs="Poppins"/>
          <w:b/>
          <w:bCs/>
        </w:rPr>
        <w:t>DNA switching suite</w:t>
      </w:r>
    </w:p>
    <w:p w14:paraId="79ED20B5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The </w:t>
      </w:r>
      <w:r w:rsidRPr="005A6114">
        <w:rPr>
          <w:rFonts w:ascii="Poppins" w:hAnsi="Poppins" w:cs="Poppins"/>
          <w:b/>
          <w:bCs/>
        </w:rPr>
        <w:t>commerce SKU</w:t>
      </w:r>
      <w:r w:rsidRPr="005A6114">
        <w:rPr>
          <w:rFonts w:ascii="Poppins" w:hAnsi="Poppins" w:cs="Poppins"/>
        </w:rPr>
        <w:t xml:space="preserve"> used for purchase</w:t>
      </w:r>
    </w:p>
    <w:p w14:paraId="190CC68D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  <w:b/>
          <w:bCs/>
        </w:rPr>
        <w:t>Total consumption</w:t>
      </w:r>
    </w:p>
    <w:p w14:paraId="1A29E05F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How many entitlements were originally purchased</w:t>
      </w:r>
    </w:p>
    <w:p w14:paraId="53916B7C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Any balance</w:t>
      </w:r>
    </w:p>
    <w:p w14:paraId="0CD55F1F" w14:textId="77777777" w:rsidR="00DB4F63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Whether a </w:t>
      </w:r>
      <w:r w:rsidRPr="005A6114">
        <w:rPr>
          <w:rFonts w:ascii="Poppins" w:hAnsi="Poppins" w:cs="Poppins"/>
          <w:b/>
          <w:bCs/>
        </w:rPr>
        <w:t>true forward</w:t>
      </w:r>
      <w:r w:rsidRPr="005A6114">
        <w:rPr>
          <w:rFonts w:ascii="Poppins" w:hAnsi="Poppins" w:cs="Poppins"/>
        </w:rPr>
        <w:t xml:space="preserve"> is deriving from them</w:t>
      </w:r>
    </w:p>
    <w:p w14:paraId="365FE84B" w14:textId="43D13A7C" w:rsidR="0051712E" w:rsidRDefault="6744F7F7" w:rsidP="1E5AC2F7">
      <w:pPr>
        <w:ind w:left="720"/>
        <w:jc w:val="both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4CBD74D2" wp14:editId="6C20FAB6">
            <wp:extent cx="4979368" cy="2467066"/>
            <wp:effectExtent l="0" t="0" r="0" b="0"/>
            <wp:docPr id="18122536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5364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368" cy="24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B1EB" w14:textId="24D534DA" w:rsidR="00876F0C" w:rsidRPr="0051712E" w:rsidRDefault="00876F0C" w:rsidP="00876F0C">
      <w:pPr>
        <w:ind w:left="360"/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Enterprise agreement detail page with KPIs and suite info</w:t>
      </w:r>
    </w:p>
    <w:p w14:paraId="70AEF164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The page also includes a graph below that provides a visual representation of how utilization changed over time.</w:t>
      </w:r>
    </w:p>
    <w:p w14:paraId="026F6DF6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In the example described:</w:t>
      </w:r>
    </w:p>
    <w:p w14:paraId="07DA27C0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Utilization started at zero on the far left side of the graph</w:t>
      </w:r>
    </w:p>
    <w:p w14:paraId="573398C3" w14:textId="05BA26E5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The </w:t>
      </w:r>
      <w:r w:rsidRPr="005A6114">
        <w:rPr>
          <w:rFonts w:ascii="Poppins" w:hAnsi="Poppins" w:cs="Poppins"/>
          <w:b/>
          <w:bCs/>
        </w:rPr>
        <w:t>blue line</w:t>
      </w:r>
      <w:r w:rsidRPr="005A6114">
        <w:rPr>
          <w:rFonts w:ascii="Poppins" w:hAnsi="Poppins" w:cs="Poppins"/>
        </w:rPr>
        <w:t xml:space="preserve"> </w:t>
      </w:r>
      <w:r w:rsidR="00876F0C">
        <w:rPr>
          <w:rFonts w:ascii="Poppins" w:hAnsi="Poppins" w:cs="Poppins"/>
        </w:rPr>
        <w:t xml:space="preserve">(horizontal) </w:t>
      </w:r>
      <w:r w:rsidRPr="005A6114">
        <w:rPr>
          <w:rFonts w:ascii="Poppins" w:hAnsi="Poppins" w:cs="Poppins"/>
        </w:rPr>
        <w:t>represents the amount purchased</w:t>
      </w:r>
    </w:p>
    <w:p w14:paraId="71786185" w14:textId="1E0A09AC" w:rsidR="00DB4F63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 xml:space="preserve">The graph </w:t>
      </w:r>
      <w:r w:rsidR="00876F0C">
        <w:rPr>
          <w:rFonts w:ascii="Poppins" w:hAnsi="Poppins" w:cs="Poppins"/>
        </w:rPr>
        <w:t xml:space="preserve">also </w:t>
      </w:r>
      <w:r w:rsidRPr="005A6114">
        <w:rPr>
          <w:rFonts w:ascii="Poppins" w:hAnsi="Poppins" w:cs="Poppins"/>
        </w:rPr>
        <w:t>shows the approximate point at which the entitlement number crossed the ownership or contract number</w:t>
      </w:r>
    </w:p>
    <w:p w14:paraId="64964A4E" w14:textId="3069DAF3" w:rsidR="00876F0C" w:rsidRPr="005A6114" w:rsidRDefault="3FAA81DB" w:rsidP="00876F0C">
      <w:pPr>
        <w:pStyle w:val="ListParagraph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68015A04" wp14:editId="0EBD1111">
            <wp:extent cx="5112659" cy="1430253"/>
            <wp:effectExtent l="0" t="0" r="0" b="0"/>
            <wp:docPr id="1550320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201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2659" cy="14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ED08" w14:textId="3684C642" w:rsidR="00DB4F63" w:rsidRPr="005A6114" w:rsidRDefault="00876F0C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Utilization graph with blue purchased line over time</w:t>
      </w:r>
    </w:p>
    <w:p w14:paraId="1E7C15D4" w14:textId="0B74A8DE" w:rsidR="00DB4F63" w:rsidRPr="005A6114" w:rsidRDefault="00655D21">
      <w:pPr>
        <w:pStyle w:val="Heading2"/>
        <w:rPr>
          <w:rFonts w:ascii="Poppins" w:hAnsi="Poppins" w:cs="Poppins"/>
        </w:rPr>
      </w:pPr>
      <w:r w:rsidRPr="005A6114">
        <w:rPr>
          <w:rFonts w:ascii="Poppins" w:eastAsiaTheme="minorHAnsi" w:hAnsi="Poppins" w:cs="Poppins"/>
          <w:bCs/>
          <w:color w:val="31A559"/>
        </w:rPr>
        <w:t>Review transactions behind utilization changes</w:t>
      </w:r>
      <w:r w:rsidRPr="005A6114">
        <w:rPr>
          <w:rFonts w:ascii="Poppins" w:hAnsi="Poppins" w:cs="Poppins"/>
          <w:color w:val="78716C"/>
        </w:rPr>
        <w:t xml:space="preserve">   </w:t>
      </w:r>
    </w:p>
    <w:p w14:paraId="195E2F13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If you scroll further down on the enterprise agreement detail page, you can see all transactions that generated the increase in license utilization.</w:t>
      </w:r>
    </w:p>
    <w:p w14:paraId="4D40A333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The transaction list shows:</w:t>
      </w:r>
    </w:p>
    <w:p w14:paraId="43C1B751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When the transactions happened</w:t>
      </w:r>
    </w:p>
    <w:p w14:paraId="79A26574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Who generated them</w:t>
      </w:r>
    </w:p>
    <w:p w14:paraId="661B1AD5" w14:textId="5BC17A14" w:rsidR="00DB4F63" w:rsidRPr="005A6114" w:rsidRDefault="00C81710">
      <w:pPr>
        <w:rPr>
          <w:rFonts w:ascii="Poppins" w:hAnsi="Poppins" w:cs="Poppins"/>
        </w:rPr>
      </w:pPr>
      <w:r>
        <w:rPr>
          <w:rFonts w:ascii="Poppins" w:hAnsi="Poppins" w:cs="Poppins"/>
        </w:rPr>
        <w:t>It also covers,</w:t>
      </w:r>
    </w:p>
    <w:p w14:paraId="38E15BC9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  <w:b/>
          <w:bCs/>
        </w:rPr>
        <w:t>Transaction requester</w:t>
      </w:r>
    </w:p>
    <w:p w14:paraId="388AF1E8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  <w:b/>
          <w:bCs/>
        </w:rPr>
        <w:t>Transaction type</w:t>
      </w:r>
    </w:p>
    <w:p w14:paraId="456F1A7C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These provide a description of how licenses were added to the enterprise agreement and the date on which those changes happened.</w:t>
      </w:r>
    </w:p>
    <w:p w14:paraId="5257F2A5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This information can be used for troubleshooting a particular sequence of events.</w:t>
      </w:r>
    </w:p>
    <w:p w14:paraId="1304777D" w14:textId="77777777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noProof/>
        </w:rPr>
        <w:drawing>
          <wp:inline distT="0" distB="0" distL="0" distR="0" wp14:anchorId="153EA4C0" wp14:editId="1F43152C">
            <wp:extent cx="5143500" cy="2600325"/>
            <wp:effectExtent l="0" t="0" r="0" b="0"/>
            <wp:docPr id="342147764" name="Picture 34214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BE31" w14:textId="684C2CF8" w:rsidR="00DB4F63" w:rsidRDefault="00655D21">
      <w:pPr>
        <w:jc w:val="center"/>
        <w:rPr>
          <w:rFonts w:ascii="Poppins" w:hAnsi="Poppins" w:cs="Poppins"/>
          <w:i/>
          <w:iCs/>
          <w:color w:val="57534E"/>
          <w:sz w:val="18"/>
          <w:szCs w:val="18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Transaction list showing when transactions happened</w:t>
      </w:r>
    </w:p>
    <w:p w14:paraId="0E0FD425" w14:textId="77777777" w:rsidR="00C81710" w:rsidRPr="005A6114" w:rsidRDefault="00C81710">
      <w:pPr>
        <w:jc w:val="center"/>
        <w:rPr>
          <w:rFonts w:ascii="Poppins" w:hAnsi="Poppins" w:cs="Poppins"/>
        </w:rPr>
      </w:pPr>
    </w:p>
    <w:p w14:paraId="26553817" w14:textId="77777777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noProof/>
        </w:rPr>
        <w:drawing>
          <wp:inline distT="0" distB="0" distL="0" distR="0" wp14:anchorId="6B8FEE08" wp14:editId="0BAB99D4">
            <wp:extent cx="5143500" cy="2600325"/>
            <wp:effectExtent l="0" t="0" r="0" b="0"/>
            <wp:docPr id="1104223240" name="Picture 110422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9F7A" w14:textId="4D6627F2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Transaction requester and transaction type columns</w:t>
      </w:r>
    </w:p>
    <w:p w14:paraId="25D3CBFC" w14:textId="77777777" w:rsidR="00DB4F63" w:rsidRPr="005A6114" w:rsidRDefault="00DB4F63">
      <w:pPr>
        <w:rPr>
          <w:rFonts w:ascii="Poppins" w:hAnsi="Poppins" w:cs="Poppins"/>
        </w:rPr>
      </w:pPr>
    </w:p>
    <w:p w14:paraId="49455305" w14:textId="2C4CF8DB" w:rsidR="00DB4F63" w:rsidRPr="005A6114" w:rsidRDefault="00C81710">
      <w:pPr>
        <w:pStyle w:val="Heading2"/>
        <w:rPr>
          <w:rFonts w:ascii="Poppins" w:hAnsi="Poppins" w:cs="Poppins"/>
        </w:rPr>
      </w:pPr>
      <w:r w:rsidRPr="005A6114">
        <w:rPr>
          <w:rFonts w:ascii="Poppins" w:eastAsiaTheme="minorHAnsi" w:hAnsi="Poppins" w:cs="Poppins"/>
          <w:bCs/>
          <w:color w:val="31A559"/>
        </w:rPr>
        <w:t>View Maintenance Agreement Details</w:t>
      </w:r>
      <w:r w:rsidRPr="005A6114">
        <w:rPr>
          <w:rFonts w:ascii="Poppins" w:hAnsi="Poppins" w:cs="Poppins"/>
          <w:color w:val="78716C"/>
        </w:rPr>
        <w:t xml:space="preserve">   </w:t>
      </w:r>
    </w:p>
    <w:p w14:paraId="40D809EC" w14:textId="6AA50A18" w:rsidR="00876F0C" w:rsidRDefault="7BDDC332">
      <w:pPr>
        <w:rPr>
          <w:rFonts w:ascii="Poppins" w:hAnsi="Poppins" w:cs="Poppins"/>
        </w:rPr>
      </w:pPr>
      <w:r w:rsidRPr="10FD3C83">
        <w:rPr>
          <w:rFonts w:ascii="Poppins" w:hAnsi="Poppins" w:cs="Poppins"/>
        </w:rPr>
        <w:t xml:space="preserve">From the Enterprise Agreements area, you can also switch to </w:t>
      </w:r>
      <w:r w:rsidRPr="10FD3C83">
        <w:rPr>
          <w:rFonts w:ascii="Poppins" w:hAnsi="Poppins" w:cs="Poppins"/>
          <w:b/>
          <w:bCs/>
        </w:rPr>
        <w:t>maintenance</w:t>
      </w:r>
      <w:r w:rsidRPr="10FD3C83">
        <w:rPr>
          <w:rFonts w:ascii="Poppins" w:hAnsi="Poppins" w:cs="Poppins"/>
        </w:rPr>
        <w:t xml:space="preserve"> items</w:t>
      </w:r>
      <w:r w:rsidR="6FACA776" w:rsidRPr="10FD3C83">
        <w:rPr>
          <w:rFonts w:ascii="Poppins" w:hAnsi="Poppins" w:cs="Poppins"/>
        </w:rPr>
        <w:t xml:space="preserve"> from Quick Filter.</w:t>
      </w:r>
    </w:p>
    <w:p w14:paraId="03EC4599" w14:textId="65EC4453" w:rsidR="00DB4F63" w:rsidRDefault="00644EBD">
      <w:pPr>
        <w:rPr>
          <w:rFonts w:ascii="Poppins" w:hAnsi="Poppins" w:cs="Poppins"/>
        </w:rPr>
      </w:pPr>
      <w:r w:rsidRPr="00644EBD">
        <w:rPr>
          <w:rFonts w:ascii="Poppins" w:hAnsi="Poppins" w:cs="Poppins"/>
          <w:noProof/>
        </w:rPr>
        <w:drawing>
          <wp:inline distT="0" distB="0" distL="0" distR="0" wp14:anchorId="340602A3" wp14:editId="16D6D55B">
            <wp:extent cx="5731510" cy="2870200"/>
            <wp:effectExtent l="0" t="0" r="2540" b="6350"/>
            <wp:docPr id="79892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26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B968" w14:textId="261118DB" w:rsidR="00C81710" w:rsidRDefault="00644EBD" w:rsidP="00644EBD">
      <w:pPr>
        <w:jc w:val="center"/>
        <w:rPr>
          <w:rFonts w:ascii="Poppins" w:hAnsi="Poppins" w:cs="Poppins"/>
          <w:i/>
          <w:iCs/>
          <w:color w:val="57534E"/>
          <w:sz w:val="18"/>
          <w:szCs w:val="18"/>
        </w:rPr>
      </w:pPr>
      <w:r>
        <w:rPr>
          <w:rFonts w:ascii="Poppins" w:hAnsi="Poppins" w:cs="Poppins"/>
          <w:i/>
          <w:iCs/>
          <w:color w:val="57534E"/>
          <w:sz w:val="18"/>
          <w:szCs w:val="18"/>
        </w:rPr>
        <w:t>S</w:t>
      </w:r>
      <w:r w:rsidR="00C81710" w:rsidRPr="00644EBD">
        <w:rPr>
          <w:rFonts w:ascii="Poppins" w:hAnsi="Poppins" w:cs="Poppins"/>
          <w:i/>
          <w:iCs/>
          <w:color w:val="57534E"/>
          <w:sz w:val="18"/>
          <w:szCs w:val="18"/>
        </w:rPr>
        <w:t>witch to maintenance items</w:t>
      </w:r>
    </w:p>
    <w:p w14:paraId="27CC84AF" w14:textId="77777777" w:rsidR="00644EBD" w:rsidRPr="00644EBD" w:rsidRDefault="00644EBD" w:rsidP="00644EBD">
      <w:pPr>
        <w:jc w:val="center"/>
        <w:rPr>
          <w:rFonts w:ascii="Poppins" w:hAnsi="Poppins" w:cs="Poppins"/>
          <w:i/>
          <w:iCs/>
          <w:color w:val="57534E"/>
          <w:sz w:val="18"/>
          <w:szCs w:val="18"/>
        </w:rPr>
      </w:pPr>
    </w:p>
    <w:p w14:paraId="16FA7946" w14:textId="6DCF5B69" w:rsidR="00DB4F63" w:rsidRPr="005A6114" w:rsidRDefault="00876F0C">
      <w:pPr>
        <w:rPr>
          <w:rFonts w:ascii="Poppins" w:hAnsi="Poppins" w:cs="Poppins"/>
        </w:rPr>
      </w:pPr>
      <w:r>
        <w:rPr>
          <w:rFonts w:ascii="Poppins" w:hAnsi="Poppins" w:cs="Poppins"/>
        </w:rPr>
        <w:t>E</w:t>
      </w:r>
      <w:r w:rsidRPr="005A6114">
        <w:rPr>
          <w:rFonts w:ascii="Poppins" w:hAnsi="Poppins" w:cs="Poppins"/>
        </w:rPr>
        <w:t>verything generally works the same, including the fields, and that you can drill into maintenance agreements as well.</w:t>
      </w:r>
    </w:p>
    <w:p w14:paraId="220B3831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For maintenance agreements, similar visualizations are shown, including:</w:t>
      </w:r>
    </w:p>
    <w:p w14:paraId="23776766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How many are covered</w:t>
      </w:r>
    </w:p>
    <w:p w14:paraId="36C6855A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How many were purchased</w:t>
      </w:r>
    </w:p>
    <w:p w14:paraId="78F6AA9A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How many were added</w:t>
      </w:r>
    </w:p>
    <w:p w14:paraId="29FBDF24" w14:textId="77777777" w:rsidR="00DB4F63" w:rsidRPr="005A6114" w:rsidRDefault="00655D21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5A6114">
        <w:rPr>
          <w:rFonts w:ascii="Poppins" w:hAnsi="Poppins" w:cs="Poppins"/>
        </w:rPr>
        <w:t>How many were removed</w:t>
      </w:r>
    </w:p>
    <w:p w14:paraId="3EAC3208" w14:textId="77777777" w:rsidR="00DB4F63" w:rsidRPr="005A6114" w:rsidRDefault="00655D21">
      <w:pPr>
        <w:rPr>
          <w:rFonts w:ascii="Poppins" w:hAnsi="Poppins" w:cs="Poppins"/>
        </w:rPr>
      </w:pPr>
      <w:r w:rsidRPr="005A6114">
        <w:rPr>
          <w:rFonts w:ascii="Poppins" w:hAnsi="Poppins" w:cs="Poppins"/>
        </w:rPr>
        <w:t>The graph below also provides a quick sense of how the numbers changed over time by following the timeline.</w:t>
      </w:r>
    </w:p>
    <w:p w14:paraId="26B191ED" w14:textId="77777777" w:rsidR="00C81710" w:rsidRPr="005A6114" w:rsidRDefault="00C81710">
      <w:pPr>
        <w:jc w:val="center"/>
        <w:rPr>
          <w:rFonts w:ascii="Poppins" w:hAnsi="Poppins" w:cs="Poppins"/>
        </w:rPr>
      </w:pPr>
    </w:p>
    <w:p w14:paraId="4088B247" w14:textId="77777777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noProof/>
        </w:rPr>
        <w:drawing>
          <wp:inline distT="0" distB="0" distL="0" distR="0" wp14:anchorId="2C2FE9AD" wp14:editId="4524537C">
            <wp:extent cx="5143500" cy="2600325"/>
            <wp:effectExtent l="0" t="0" r="0" b="0"/>
            <wp:docPr id="543078034" name="Picture 54307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3232" w14:textId="6AFCEC40" w:rsidR="00DB4F63" w:rsidRDefault="00655D21">
      <w:pPr>
        <w:jc w:val="center"/>
        <w:rPr>
          <w:rFonts w:ascii="Poppins" w:hAnsi="Poppins" w:cs="Poppins"/>
          <w:i/>
          <w:iCs/>
          <w:color w:val="57534E"/>
          <w:sz w:val="18"/>
          <w:szCs w:val="18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Maintenance agreement details with covered and purchased counts</w:t>
      </w:r>
    </w:p>
    <w:p w14:paraId="17A53E42" w14:textId="77777777" w:rsidR="00C81710" w:rsidRPr="005A6114" w:rsidRDefault="00C81710">
      <w:pPr>
        <w:jc w:val="center"/>
        <w:rPr>
          <w:rFonts w:ascii="Poppins" w:hAnsi="Poppins" w:cs="Poppins"/>
        </w:rPr>
      </w:pPr>
    </w:p>
    <w:p w14:paraId="558E914A" w14:textId="77777777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noProof/>
        </w:rPr>
        <w:drawing>
          <wp:inline distT="0" distB="0" distL="0" distR="0" wp14:anchorId="1DA39A62" wp14:editId="28666F61">
            <wp:extent cx="5143500" cy="2600325"/>
            <wp:effectExtent l="0" t="0" r="0" b="0"/>
            <wp:docPr id="400066587" name="Picture 40006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97A7" w14:textId="04003F00" w:rsidR="00DB4F63" w:rsidRPr="005A6114" w:rsidRDefault="00655D21">
      <w:pPr>
        <w:jc w:val="center"/>
        <w:rPr>
          <w:rFonts w:ascii="Poppins" w:hAnsi="Poppins" w:cs="Poppins"/>
        </w:rPr>
      </w:pPr>
      <w:r w:rsidRPr="005A6114">
        <w:rPr>
          <w:rFonts w:ascii="Poppins" w:hAnsi="Poppins" w:cs="Poppins"/>
          <w:i/>
          <w:iCs/>
          <w:color w:val="57534E"/>
          <w:sz w:val="18"/>
          <w:szCs w:val="18"/>
        </w:rPr>
        <w:t>Timeline graph showing changes over time</w:t>
      </w:r>
    </w:p>
    <w:p w14:paraId="1C8EBE5B" w14:textId="77777777" w:rsidR="00DB4F63" w:rsidRPr="005A6114" w:rsidRDefault="00DB4F63">
      <w:pPr>
        <w:rPr>
          <w:rFonts w:ascii="Poppins" w:hAnsi="Poppins" w:cs="Poppins"/>
        </w:rPr>
      </w:pPr>
    </w:p>
    <w:sectPr w:rsidR="00DB4F63" w:rsidRPr="005A6114" w:rsidSect="002A11EB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123B2" w14:textId="77777777" w:rsidR="002E6F95" w:rsidRDefault="002E6F95" w:rsidP="00DF10C5">
      <w:pPr>
        <w:spacing w:after="0" w:line="240" w:lineRule="auto"/>
      </w:pPr>
      <w:r>
        <w:separator/>
      </w:r>
    </w:p>
  </w:endnote>
  <w:endnote w:type="continuationSeparator" w:id="0">
    <w:p w14:paraId="29C7E8E2" w14:textId="77777777" w:rsidR="002E6F95" w:rsidRDefault="002E6F95" w:rsidP="00DF10C5">
      <w:pPr>
        <w:spacing w:after="0" w:line="240" w:lineRule="auto"/>
      </w:pPr>
      <w:r>
        <w:continuationSeparator/>
      </w:r>
    </w:p>
  </w:endnote>
  <w:endnote w:type="continuationNotice" w:id="1">
    <w:p w14:paraId="66CFCF60" w14:textId="77777777" w:rsidR="002E6F95" w:rsidRDefault="002E6F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60C91" w14:textId="77777777" w:rsidR="002A11EB" w:rsidRDefault="002A11EB" w:rsidP="002A11EB">
    <w:pPr>
      <w:pStyle w:val="Footer"/>
    </w:pPr>
  </w:p>
  <w:p w14:paraId="455CDC82" w14:textId="77777777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8BB99F8" wp14:editId="300E92CA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92704" w14:textId="77777777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07C3FA4" wp14:editId="19A25690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9BECD" w14:textId="77777777" w:rsidR="002E6F95" w:rsidRDefault="002E6F95" w:rsidP="00DF10C5">
      <w:pPr>
        <w:spacing w:after="0" w:line="240" w:lineRule="auto"/>
      </w:pPr>
      <w:r>
        <w:separator/>
      </w:r>
    </w:p>
  </w:footnote>
  <w:footnote w:type="continuationSeparator" w:id="0">
    <w:p w14:paraId="57D0E190" w14:textId="77777777" w:rsidR="002E6F95" w:rsidRDefault="002E6F95" w:rsidP="00DF10C5">
      <w:pPr>
        <w:spacing w:after="0" w:line="240" w:lineRule="auto"/>
      </w:pPr>
      <w:r>
        <w:continuationSeparator/>
      </w:r>
    </w:p>
  </w:footnote>
  <w:footnote w:type="continuationNotice" w:id="1">
    <w:p w14:paraId="1C5F3953" w14:textId="77777777" w:rsidR="002E6F95" w:rsidRDefault="002E6F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A67B4" w14:textId="77777777" w:rsidR="00D7728A" w:rsidRDefault="00D7728A">
    <w:pPr>
      <w:pStyle w:val="Header"/>
    </w:pPr>
    <w:r w:rsidRPr="00D7728A">
      <w:rPr>
        <w:noProof/>
      </w:rPr>
      <w:drawing>
        <wp:anchor distT="0" distB="0" distL="114300" distR="114300" simplePos="0" relativeHeight="251658240" behindDoc="0" locked="0" layoutInCell="1" allowOverlap="1" wp14:anchorId="3A22251A" wp14:editId="4AF6287E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71E3"/>
    <w:multiLevelType w:val="hybridMultilevel"/>
    <w:tmpl w:val="B226F40C"/>
    <w:lvl w:ilvl="0" w:tplc="F4DADD3A">
      <w:start w:val="1"/>
      <w:numFmt w:val="bullet"/>
      <w:lvlText w:val="●"/>
      <w:lvlJc w:val="left"/>
      <w:pPr>
        <w:ind w:left="720" w:hanging="360"/>
      </w:pPr>
    </w:lvl>
    <w:lvl w:ilvl="1" w:tplc="732017B8">
      <w:start w:val="1"/>
      <w:numFmt w:val="bullet"/>
      <w:lvlText w:val="○"/>
      <w:lvlJc w:val="left"/>
      <w:pPr>
        <w:ind w:left="1440" w:hanging="360"/>
      </w:pPr>
    </w:lvl>
    <w:lvl w:ilvl="2" w:tplc="4E9E8EFA">
      <w:start w:val="1"/>
      <w:numFmt w:val="bullet"/>
      <w:lvlText w:val="■"/>
      <w:lvlJc w:val="left"/>
      <w:pPr>
        <w:ind w:left="2160" w:hanging="360"/>
      </w:pPr>
    </w:lvl>
    <w:lvl w:ilvl="3" w:tplc="8A288828">
      <w:start w:val="1"/>
      <w:numFmt w:val="bullet"/>
      <w:lvlText w:val="●"/>
      <w:lvlJc w:val="left"/>
      <w:pPr>
        <w:ind w:left="2880" w:hanging="360"/>
      </w:pPr>
    </w:lvl>
    <w:lvl w:ilvl="4" w:tplc="FC669AEE">
      <w:start w:val="1"/>
      <w:numFmt w:val="bullet"/>
      <w:lvlText w:val="○"/>
      <w:lvlJc w:val="left"/>
      <w:pPr>
        <w:ind w:left="3600" w:hanging="360"/>
      </w:pPr>
    </w:lvl>
    <w:lvl w:ilvl="5" w:tplc="32B0D010">
      <w:start w:val="1"/>
      <w:numFmt w:val="bullet"/>
      <w:lvlText w:val="■"/>
      <w:lvlJc w:val="left"/>
      <w:pPr>
        <w:ind w:left="4320" w:hanging="360"/>
      </w:pPr>
    </w:lvl>
    <w:lvl w:ilvl="6" w:tplc="93F0C4B8">
      <w:start w:val="1"/>
      <w:numFmt w:val="bullet"/>
      <w:lvlText w:val="●"/>
      <w:lvlJc w:val="left"/>
      <w:pPr>
        <w:ind w:left="5040" w:hanging="360"/>
      </w:pPr>
    </w:lvl>
    <w:lvl w:ilvl="7" w:tplc="6804DB62">
      <w:start w:val="1"/>
      <w:numFmt w:val="bullet"/>
      <w:lvlText w:val="●"/>
      <w:lvlJc w:val="left"/>
      <w:pPr>
        <w:ind w:left="5760" w:hanging="360"/>
      </w:pPr>
    </w:lvl>
    <w:lvl w:ilvl="8" w:tplc="ED3A8174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05683"/>
    <w:multiLevelType w:val="multilevel"/>
    <w:tmpl w:val="890E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3E6A2D"/>
    <w:multiLevelType w:val="hybridMultilevel"/>
    <w:tmpl w:val="2AA45E82"/>
    <w:lvl w:ilvl="0" w:tplc="32B240F0">
      <w:start w:val="1"/>
      <w:numFmt w:val="decimal"/>
      <w:lvlText w:val="%1."/>
      <w:lvlJc w:val="left"/>
    </w:lvl>
    <w:lvl w:ilvl="1" w:tplc="C7581222">
      <w:numFmt w:val="decimal"/>
      <w:lvlText w:val=""/>
      <w:lvlJc w:val="left"/>
    </w:lvl>
    <w:lvl w:ilvl="2" w:tplc="1C1010E0">
      <w:numFmt w:val="decimal"/>
      <w:lvlText w:val=""/>
      <w:lvlJc w:val="left"/>
    </w:lvl>
    <w:lvl w:ilvl="3" w:tplc="E0F82130">
      <w:numFmt w:val="decimal"/>
      <w:lvlText w:val=""/>
      <w:lvlJc w:val="left"/>
    </w:lvl>
    <w:lvl w:ilvl="4" w:tplc="8A5C53D4">
      <w:numFmt w:val="decimal"/>
      <w:lvlText w:val=""/>
      <w:lvlJc w:val="left"/>
    </w:lvl>
    <w:lvl w:ilvl="5" w:tplc="6A1065AE">
      <w:numFmt w:val="decimal"/>
      <w:lvlText w:val=""/>
      <w:lvlJc w:val="left"/>
    </w:lvl>
    <w:lvl w:ilvl="6" w:tplc="4B709788">
      <w:numFmt w:val="decimal"/>
      <w:lvlText w:val=""/>
      <w:lvlJc w:val="left"/>
    </w:lvl>
    <w:lvl w:ilvl="7" w:tplc="DABCD848">
      <w:numFmt w:val="decimal"/>
      <w:lvlText w:val=""/>
      <w:lvlJc w:val="left"/>
    </w:lvl>
    <w:lvl w:ilvl="8" w:tplc="04D22E18">
      <w:numFmt w:val="decimal"/>
      <w:lvlText w:val=""/>
      <w:lvlJc w:val="left"/>
    </w:lvl>
  </w:abstractNum>
  <w:abstractNum w:abstractNumId="8" w15:restartNumberingAfterBreak="0">
    <w:nsid w:val="2FDB1410"/>
    <w:multiLevelType w:val="hybridMultilevel"/>
    <w:tmpl w:val="E1C03A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1493A"/>
    <w:multiLevelType w:val="multilevel"/>
    <w:tmpl w:val="15E0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4358A8"/>
    <w:multiLevelType w:val="multilevel"/>
    <w:tmpl w:val="6A6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F31C86"/>
    <w:multiLevelType w:val="multilevel"/>
    <w:tmpl w:val="EFFC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7637820">
    <w:abstractNumId w:val="2"/>
    <w:lvlOverride w:ilvl="0">
      <w:startOverride w:val="1"/>
    </w:lvlOverride>
  </w:num>
  <w:num w:numId="2" w16cid:durableId="931206529">
    <w:abstractNumId w:val="3"/>
    <w:lvlOverride w:ilvl="0">
      <w:startOverride w:val="1"/>
    </w:lvlOverride>
  </w:num>
  <w:num w:numId="3" w16cid:durableId="756174043">
    <w:abstractNumId w:val="14"/>
  </w:num>
  <w:num w:numId="4" w16cid:durableId="1966503905">
    <w:abstractNumId w:val="9"/>
  </w:num>
  <w:num w:numId="5" w16cid:durableId="14304646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0093"/>
    <w:rsid w:val="00005100"/>
    <w:rsid w:val="00007EA8"/>
    <w:rsid w:val="0003166A"/>
    <w:rsid w:val="00040B1F"/>
    <w:rsid w:val="00077769"/>
    <w:rsid w:val="00087A41"/>
    <w:rsid w:val="000920CE"/>
    <w:rsid w:val="00095C8D"/>
    <w:rsid w:val="000A2233"/>
    <w:rsid w:val="000A3033"/>
    <w:rsid w:val="000B1EDD"/>
    <w:rsid w:val="000B2151"/>
    <w:rsid w:val="000B6B11"/>
    <w:rsid w:val="000D05ED"/>
    <w:rsid w:val="000F5395"/>
    <w:rsid w:val="00114ED6"/>
    <w:rsid w:val="001215AC"/>
    <w:rsid w:val="00124B5D"/>
    <w:rsid w:val="0018371E"/>
    <w:rsid w:val="001A09D8"/>
    <w:rsid w:val="001C6CAA"/>
    <w:rsid w:val="001F427F"/>
    <w:rsid w:val="00237353"/>
    <w:rsid w:val="00257354"/>
    <w:rsid w:val="00287EF5"/>
    <w:rsid w:val="00293D12"/>
    <w:rsid w:val="002A11EB"/>
    <w:rsid w:val="002B75DE"/>
    <w:rsid w:val="002C75D5"/>
    <w:rsid w:val="002D2AF0"/>
    <w:rsid w:val="002D5C00"/>
    <w:rsid w:val="002E6F95"/>
    <w:rsid w:val="00304608"/>
    <w:rsid w:val="003116E5"/>
    <w:rsid w:val="003248F6"/>
    <w:rsid w:val="00334A88"/>
    <w:rsid w:val="003648C0"/>
    <w:rsid w:val="00372E77"/>
    <w:rsid w:val="00386142"/>
    <w:rsid w:val="00395FD0"/>
    <w:rsid w:val="00420712"/>
    <w:rsid w:val="00420C6F"/>
    <w:rsid w:val="004268FB"/>
    <w:rsid w:val="00436815"/>
    <w:rsid w:val="0044465A"/>
    <w:rsid w:val="004454F1"/>
    <w:rsid w:val="004719FD"/>
    <w:rsid w:val="00471CB6"/>
    <w:rsid w:val="00475194"/>
    <w:rsid w:val="00486FEB"/>
    <w:rsid w:val="004B0BFF"/>
    <w:rsid w:val="004C0B0F"/>
    <w:rsid w:val="004E7FBA"/>
    <w:rsid w:val="004F7675"/>
    <w:rsid w:val="00513F6B"/>
    <w:rsid w:val="0051712E"/>
    <w:rsid w:val="00526EF4"/>
    <w:rsid w:val="00534E1C"/>
    <w:rsid w:val="0054634E"/>
    <w:rsid w:val="00556AC3"/>
    <w:rsid w:val="0057211F"/>
    <w:rsid w:val="005A6114"/>
    <w:rsid w:val="005B1D68"/>
    <w:rsid w:val="005C2A30"/>
    <w:rsid w:val="005D75A9"/>
    <w:rsid w:val="005E37C8"/>
    <w:rsid w:val="006264C2"/>
    <w:rsid w:val="00644EBD"/>
    <w:rsid w:val="00645F11"/>
    <w:rsid w:val="00655D21"/>
    <w:rsid w:val="006A3321"/>
    <w:rsid w:val="006F6248"/>
    <w:rsid w:val="00716A55"/>
    <w:rsid w:val="0074656E"/>
    <w:rsid w:val="00774D06"/>
    <w:rsid w:val="007B065E"/>
    <w:rsid w:val="007B44D4"/>
    <w:rsid w:val="007C6A83"/>
    <w:rsid w:val="00801115"/>
    <w:rsid w:val="00801195"/>
    <w:rsid w:val="00824B0C"/>
    <w:rsid w:val="00875362"/>
    <w:rsid w:val="00876F0C"/>
    <w:rsid w:val="008A47BF"/>
    <w:rsid w:val="008C4CD0"/>
    <w:rsid w:val="008E2DC2"/>
    <w:rsid w:val="008E74E7"/>
    <w:rsid w:val="008F1EAB"/>
    <w:rsid w:val="00907417"/>
    <w:rsid w:val="00917DD9"/>
    <w:rsid w:val="00921706"/>
    <w:rsid w:val="009257FE"/>
    <w:rsid w:val="00933487"/>
    <w:rsid w:val="00951FC9"/>
    <w:rsid w:val="00977082"/>
    <w:rsid w:val="009C0D62"/>
    <w:rsid w:val="009C75EF"/>
    <w:rsid w:val="00A1634E"/>
    <w:rsid w:val="00A37501"/>
    <w:rsid w:val="00A71777"/>
    <w:rsid w:val="00A73057"/>
    <w:rsid w:val="00A87F60"/>
    <w:rsid w:val="00A92E89"/>
    <w:rsid w:val="00A97BC2"/>
    <w:rsid w:val="00AB2FE8"/>
    <w:rsid w:val="00AC3BCA"/>
    <w:rsid w:val="00AF6307"/>
    <w:rsid w:val="00B13AAF"/>
    <w:rsid w:val="00B2599F"/>
    <w:rsid w:val="00B27174"/>
    <w:rsid w:val="00BD371E"/>
    <w:rsid w:val="00C2126A"/>
    <w:rsid w:val="00C51EA5"/>
    <w:rsid w:val="00C5431D"/>
    <w:rsid w:val="00C575C5"/>
    <w:rsid w:val="00C678EB"/>
    <w:rsid w:val="00C67A6E"/>
    <w:rsid w:val="00C81710"/>
    <w:rsid w:val="00CE08C3"/>
    <w:rsid w:val="00CF4E71"/>
    <w:rsid w:val="00D0112F"/>
    <w:rsid w:val="00D0270C"/>
    <w:rsid w:val="00D029FC"/>
    <w:rsid w:val="00D1433F"/>
    <w:rsid w:val="00D40952"/>
    <w:rsid w:val="00D5273C"/>
    <w:rsid w:val="00D55E7A"/>
    <w:rsid w:val="00D7728A"/>
    <w:rsid w:val="00DA51F9"/>
    <w:rsid w:val="00DB4F63"/>
    <w:rsid w:val="00DC1247"/>
    <w:rsid w:val="00DD3BFA"/>
    <w:rsid w:val="00DF10C5"/>
    <w:rsid w:val="00E42009"/>
    <w:rsid w:val="00E5766F"/>
    <w:rsid w:val="00EA412C"/>
    <w:rsid w:val="00EC7CFD"/>
    <w:rsid w:val="00EE76C2"/>
    <w:rsid w:val="00F1334B"/>
    <w:rsid w:val="00F24075"/>
    <w:rsid w:val="00F30E2D"/>
    <w:rsid w:val="00F32F8E"/>
    <w:rsid w:val="00F64103"/>
    <w:rsid w:val="00F83532"/>
    <w:rsid w:val="00F92828"/>
    <w:rsid w:val="00F95D67"/>
    <w:rsid w:val="00FC25A9"/>
    <w:rsid w:val="00FE1087"/>
    <w:rsid w:val="00FF5158"/>
    <w:rsid w:val="03304998"/>
    <w:rsid w:val="09E3D09D"/>
    <w:rsid w:val="0B6BB0F5"/>
    <w:rsid w:val="0E7295DA"/>
    <w:rsid w:val="10FD3C83"/>
    <w:rsid w:val="11C5D90A"/>
    <w:rsid w:val="1911B93A"/>
    <w:rsid w:val="1C2EAB18"/>
    <w:rsid w:val="1E5AC2F7"/>
    <w:rsid w:val="209DEBE9"/>
    <w:rsid w:val="2CC9C9D9"/>
    <w:rsid w:val="3D8C1DA6"/>
    <w:rsid w:val="3FAA81DB"/>
    <w:rsid w:val="4E2D60DF"/>
    <w:rsid w:val="50F2A592"/>
    <w:rsid w:val="51685EA0"/>
    <w:rsid w:val="559D0BE6"/>
    <w:rsid w:val="56570324"/>
    <w:rsid w:val="59C3A313"/>
    <w:rsid w:val="648B6756"/>
    <w:rsid w:val="6744F7F7"/>
    <w:rsid w:val="68EA3837"/>
    <w:rsid w:val="6FACA776"/>
    <w:rsid w:val="71F486FB"/>
    <w:rsid w:val="7BDDC332"/>
    <w:rsid w:val="7C9D0894"/>
    <w:rsid w:val="7CF0A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79AEC"/>
  <w15:chartTrackingRefBased/>
  <w15:docId w15:val="{3D868D93-B939-4B7F-8751-66369482A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  <w:rPr>
      <w:rFonts w:ascii="Poppins" w:hAnsi="Poppins" w:cs="Poppins"/>
    </w:rPr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11bf99d68d3695355df1dc610b917ab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e11380b2cb0b848f7153b8c83e7b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0BAAD0-C52F-46EC-853B-ED75420B53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A097DC-0282-49BC-AA18-EE31400C6A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189DDF-74D0-429F-8981-9D0FAE4FC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607</Words>
  <Characters>3464</Characters>
  <Application>Microsoft Office Word</Application>
  <DocSecurity>4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34</cp:revision>
  <cp:lastPrinted>2025-09-30T08:02:00Z</cp:lastPrinted>
  <dcterms:created xsi:type="dcterms:W3CDTF">2026-04-28T07:21:00Z</dcterms:created>
  <dcterms:modified xsi:type="dcterms:W3CDTF">2026-04-29T16:08:00Z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