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FA1B7" w14:textId="77777777" w:rsidR="009269AB" w:rsidRPr="009269AB" w:rsidRDefault="009269AB" w:rsidP="009269AB">
      <w:pPr>
        <w:pStyle w:val="TOC1RAIMAIN1"/>
      </w:pPr>
      <w:r w:rsidRPr="009269AB">
        <w:t>Asset Management &gt; Credit Bank &gt; View Credit Bank</w:t>
      </w:r>
    </w:p>
    <w:p w14:paraId="71A623F5" w14:textId="2BD64CF6" w:rsidR="005E2630" w:rsidRDefault="005E2630" w:rsidP="005E2630">
      <w:pPr>
        <w:pStyle w:val="TOC2bulletRAI"/>
      </w:pPr>
      <w:r>
        <w:t>Access Credit Bank</w:t>
      </w:r>
    </w:p>
    <w:p w14:paraId="27FBC0EC" w14:textId="33C6EE06" w:rsidR="009269AB" w:rsidRPr="006805D6" w:rsidRDefault="009269AB" w:rsidP="009269AB">
      <w:r w:rsidRPr="006805D6">
        <w:t xml:space="preserve">This section explains how to access the Credit Bank within </w:t>
      </w:r>
      <w:proofErr w:type="spellStart"/>
      <w:r w:rsidRPr="006805D6">
        <w:t>NexaOne</w:t>
      </w:r>
      <w:proofErr w:type="spellEnd"/>
      <w:r w:rsidRPr="006805D6">
        <w:t>.</w:t>
      </w:r>
    </w:p>
    <w:p w14:paraId="1F703506" w14:textId="48A59584" w:rsidR="005E2630" w:rsidRPr="006805D6" w:rsidRDefault="009269AB" w:rsidP="004B1E9C">
      <w:pPr>
        <w:numPr>
          <w:ilvl w:val="0"/>
          <w:numId w:val="11"/>
        </w:numPr>
      </w:pPr>
      <w:r w:rsidRPr="006805D6">
        <w:rPr>
          <w:b/>
          <w:bCs/>
        </w:rPr>
        <w:t>Navigate to the Assets section:</w:t>
      </w:r>
      <w:r w:rsidRPr="006805D6">
        <w:t xml:space="preserve"> From the main menu in </w:t>
      </w:r>
      <w:proofErr w:type="spellStart"/>
      <w:r w:rsidRPr="006805D6">
        <w:t>NexaOne</w:t>
      </w:r>
      <w:proofErr w:type="spellEnd"/>
      <w:r w:rsidRPr="006805D6">
        <w:t>, locate and click on the "Assets" section. This section provides access to various asset-related features, including the Credit Bank.</w:t>
      </w:r>
    </w:p>
    <w:p w14:paraId="251535C2" w14:textId="69E09AE0" w:rsidR="009269AB" w:rsidRDefault="009269AB" w:rsidP="009269AB">
      <w:pPr>
        <w:numPr>
          <w:ilvl w:val="0"/>
          <w:numId w:val="11"/>
        </w:numPr>
      </w:pPr>
      <w:r w:rsidRPr="006805D6">
        <w:t>Within the "Assets" section, find and select "Credit Bank". This action will display a list of all items currently stored in the credit bank. The credit bank interface will then load, presenting you with a table of your credit bank items and associated details.</w:t>
      </w:r>
    </w:p>
    <w:p w14:paraId="754A89F6" w14:textId="77777777" w:rsidR="005E2630" w:rsidRDefault="005E2630" w:rsidP="005E2630">
      <w:pPr>
        <w:pStyle w:val="ListParagraph"/>
      </w:pPr>
    </w:p>
    <w:p w14:paraId="299C0AC4" w14:textId="479B87BF" w:rsidR="005E2630" w:rsidRDefault="005E2630" w:rsidP="005E2630">
      <w:pPr>
        <w:ind w:left="720"/>
      </w:pPr>
      <w:r w:rsidRPr="005E2630">
        <w:rPr>
          <w:noProof/>
        </w:rPr>
        <w:drawing>
          <wp:inline distT="0" distB="0" distL="0" distR="0" wp14:anchorId="34B37B16" wp14:editId="643C0783">
            <wp:extent cx="4884875" cy="2052232"/>
            <wp:effectExtent l="0" t="0" r="0" b="5715"/>
            <wp:docPr id="20906148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1483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8318" cy="20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6B15" w14:textId="77777777" w:rsidR="005E2630" w:rsidRDefault="005E2630" w:rsidP="005E2630"/>
    <w:p w14:paraId="23E82572" w14:textId="77777777" w:rsidR="005E2630" w:rsidRDefault="005E2630" w:rsidP="005E2630"/>
    <w:p w14:paraId="395767B6" w14:textId="1EA54734" w:rsidR="005E2630" w:rsidRPr="006805D6" w:rsidRDefault="005E2630" w:rsidP="005E2630">
      <w:pPr>
        <w:ind w:left="720"/>
      </w:pPr>
      <w:r w:rsidRPr="005E2630">
        <w:rPr>
          <w:noProof/>
        </w:rPr>
        <w:drawing>
          <wp:inline distT="0" distB="0" distL="0" distR="0" wp14:anchorId="45A94DDD" wp14:editId="3F728E83">
            <wp:extent cx="4753069" cy="2063736"/>
            <wp:effectExtent l="0" t="0" r="0" b="0"/>
            <wp:docPr id="4608992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9927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0073" cy="206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15B7" w14:textId="1BF15385" w:rsidR="009269AB" w:rsidRPr="006805D6" w:rsidRDefault="009269AB" w:rsidP="009269AB"/>
    <w:p w14:paraId="4DFB8A15" w14:textId="141DC546" w:rsidR="009269AB" w:rsidRPr="006805D6" w:rsidRDefault="009269AB" w:rsidP="005E2630">
      <w:pPr>
        <w:pStyle w:val="TOC2bulletRAI"/>
      </w:pPr>
      <w:r w:rsidRPr="006805D6">
        <w:t>Understanding the Credit Bank</w:t>
      </w:r>
    </w:p>
    <w:p w14:paraId="45ED2178" w14:textId="77777777" w:rsidR="009269AB" w:rsidRPr="006805D6" w:rsidRDefault="009269AB" w:rsidP="009269AB">
      <w:r w:rsidRPr="006805D6">
        <w:t>This section explains the purpose of the credit bank and its key functionalities.</w:t>
      </w:r>
    </w:p>
    <w:p w14:paraId="3529CA44" w14:textId="77777777" w:rsidR="009269AB" w:rsidRPr="006805D6" w:rsidRDefault="009269AB" w:rsidP="009269AB">
      <w:pPr>
        <w:numPr>
          <w:ilvl w:val="0"/>
          <w:numId w:val="12"/>
        </w:numPr>
      </w:pPr>
      <w:r w:rsidRPr="006805D6">
        <w:rPr>
          <w:b/>
          <w:bCs/>
        </w:rPr>
        <w:t>Credit Tracking from Contract Changes:</w:t>
      </w:r>
      <w:r w:rsidRPr="006805D6">
        <w:t> The credit bank primarily functions to track credits that result from contract modifications. Specifically, it manages situations where items are removed from a contract before the contract's natural expiration date. This removal creates a credit that can be used later.</w:t>
      </w:r>
    </w:p>
    <w:p w14:paraId="1F416C18" w14:textId="77777777" w:rsidR="009269AB" w:rsidRPr="006805D6" w:rsidRDefault="009269AB" w:rsidP="009269AB">
      <w:pPr>
        <w:numPr>
          <w:ilvl w:val="0"/>
          <w:numId w:val="12"/>
        </w:numPr>
      </w:pPr>
      <w:r w:rsidRPr="006805D6">
        <w:rPr>
          <w:b/>
          <w:bCs/>
        </w:rPr>
        <w:t>Applying Credits to Future Contract Additions:</w:t>
      </w:r>
      <w:r w:rsidRPr="006805D6">
        <w:t xml:space="preserve"> The credits stored within the credit bank can be applied to add new items or services to a contract </w:t>
      </w:r>
      <w:proofErr w:type="gramStart"/>
      <w:r w:rsidRPr="006805D6">
        <w:t>at a later time</w:t>
      </w:r>
      <w:proofErr w:type="gramEnd"/>
      <w:r w:rsidRPr="006805D6">
        <w:t>. Instead of processing a new purchase, you can utilize existing credit.</w:t>
      </w:r>
    </w:p>
    <w:p w14:paraId="2BDCA2F2" w14:textId="77777777" w:rsidR="009269AB" w:rsidRPr="006805D6" w:rsidRDefault="009269AB" w:rsidP="009269AB">
      <w:pPr>
        <w:numPr>
          <w:ilvl w:val="0"/>
          <w:numId w:val="12"/>
        </w:numPr>
      </w:pPr>
      <w:r w:rsidRPr="006805D6">
        <w:rPr>
          <w:b/>
          <w:bCs/>
        </w:rPr>
        <w:t>Use Case: Traditional vs. CXEA/Maintenance EA Contracts:</w:t>
      </w:r>
      <w:r w:rsidRPr="006805D6">
        <w:t> The credit bank is particularly useful in scenarios involving traditional contracts.</w:t>
      </w:r>
    </w:p>
    <w:p w14:paraId="4A63E9AB" w14:textId="77777777" w:rsidR="009269AB" w:rsidRPr="006805D6" w:rsidRDefault="009269AB" w:rsidP="009269AB">
      <w:pPr>
        <w:numPr>
          <w:ilvl w:val="1"/>
          <w:numId w:val="12"/>
        </w:numPr>
      </w:pPr>
      <w:r w:rsidRPr="006805D6">
        <w:rPr>
          <w:b/>
          <w:bCs/>
        </w:rPr>
        <w:t>Traditional Contracts:</w:t>
      </w:r>
      <w:r w:rsidRPr="006805D6">
        <w:t> These are contracts where items are added and removed individually through separate transactions.</w:t>
      </w:r>
    </w:p>
    <w:p w14:paraId="76081118" w14:textId="77777777" w:rsidR="009269AB" w:rsidRPr="006805D6" w:rsidRDefault="009269AB" w:rsidP="009269AB">
      <w:pPr>
        <w:numPr>
          <w:ilvl w:val="1"/>
          <w:numId w:val="12"/>
        </w:numPr>
      </w:pPr>
      <w:r w:rsidRPr="006805D6">
        <w:rPr>
          <w:b/>
          <w:bCs/>
        </w:rPr>
        <w:t>CXEA/Maintenance EA Contracts:</w:t>
      </w:r>
      <w:r w:rsidRPr="006805D6">
        <w:t> The credit bank is less critical when Comprehensive Experience Agreements (CXEA) or maintenance agreements are in place, as these typically handle changes differently.</w:t>
      </w:r>
    </w:p>
    <w:p w14:paraId="2E84CCF7" w14:textId="77777777" w:rsidR="009269AB" w:rsidRPr="006805D6" w:rsidRDefault="009269AB" w:rsidP="009269AB">
      <w:pPr>
        <w:numPr>
          <w:ilvl w:val="0"/>
          <w:numId w:val="12"/>
        </w:numPr>
      </w:pPr>
      <w:r w:rsidRPr="006805D6">
        <w:rPr>
          <w:b/>
          <w:bCs/>
        </w:rPr>
        <w:t>Benefits of Using the Credit Bank:</w:t>
      </w:r>
      <w:r w:rsidRPr="006805D6">
        <w:t> The credit bank offers several advantages:</w:t>
      </w:r>
    </w:p>
    <w:p w14:paraId="37B7F453" w14:textId="77777777" w:rsidR="009269AB" w:rsidRPr="006805D6" w:rsidRDefault="009269AB" w:rsidP="009269AB">
      <w:pPr>
        <w:numPr>
          <w:ilvl w:val="1"/>
          <w:numId w:val="12"/>
        </w:numPr>
      </w:pPr>
      <w:r w:rsidRPr="006805D6">
        <w:rPr>
          <w:b/>
          <w:bCs/>
        </w:rPr>
        <w:t>Centralized Credit Tracking:</w:t>
      </w:r>
      <w:r w:rsidRPr="006805D6">
        <w:t> Provides a central location for monitoring credit creation and consumption.</w:t>
      </w:r>
    </w:p>
    <w:p w14:paraId="2724F0C4" w14:textId="77777777" w:rsidR="009269AB" w:rsidRPr="006805D6" w:rsidRDefault="009269AB" w:rsidP="009269AB">
      <w:pPr>
        <w:numPr>
          <w:ilvl w:val="1"/>
          <w:numId w:val="12"/>
        </w:numPr>
      </w:pPr>
      <w:r w:rsidRPr="006805D6">
        <w:rPr>
          <w:b/>
          <w:bCs/>
        </w:rPr>
        <w:t>Prevents Credit Loss:</w:t>
      </w:r>
      <w:r w:rsidRPr="006805D6">
        <w:t> Helps ensure that credits are not overlooked or lost over time.</w:t>
      </w:r>
    </w:p>
    <w:p w14:paraId="4F355629" w14:textId="77777777" w:rsidR="009269AB" w:rsidRPr="006805D6" w:rsidRDefault="009269AB" w:rsidP="009269AB">
      <w:pPr>
        <w:numPr>
          <w:ilvl w:val="1"/>
          <w:numId w:val="12"/>
        </w:numPr>
      </w:pPr>
      <w:r w:rsidRPr="006805D6">
        <w:rPr>
          <w:b/>
          <w:bCs/>
        </w:rPr>
        <w:t>Improved Financial Management:</w:t>
      </w:r>
      <w:r w:rsidRPr="006805D6">
        <w:t> Enables better management of financial resources associated with contract modifications.</w:t>
      </w:r>
    </w:p>
    <w:p w14:paraId="4C373D42" w14:textId="48D69B90" w:rsidR="009269AB" w:rsidRPr="006805D6" w:rsidRDefault="009269AB" w:rsidP="005E2630">
      <w:pPr>
        <w:pStyle w:val="TOC2bulletRAI"/>
      </w:pPr>
      <w:r w:rsidRPr="006805D6">
        <w:t>Navigating the Credit Bank Table</w:t>
      </w:r>
    </w:p>
    <w:p w14:paraId="7E35E90F" w14:textId="77777777" w:rsidR="009269AB" w:rsidRPr="006805D6" w:rsidRDefault="009269AB" w:rsidP="009269AB">
      <w:r w:rsidRPr="006805D6">
        <w:t>This section describes how to navigate and interact with the credit bank table. The table displays key information related to your credits.</w:t>
      </w:r>
    </w:p>
    <w:p w14:paraId="753AEDB7" w14:textId="77777777" w:rsidR="009269AB" w:rsidRPr="006805D6" w:rsidRDefault="009269AB" w:rsidP="009269AB">
      <w:pPr>
        <w:numPr>
          <w:ilvl w:val="0"/>
          <w:numId w:val="13"/>
        </w:numPr>
      </w:pPr>
      <w:r w:rsidRPr="006805D6">
        <w:rPr>
          <w:b/>
          <w:bCs/>
        </w:rPr>
        <w:lastRenderedPageBreak/>
        <w:t>Filtering Data:</w:t>
      </w:r>
      <w:r w:rsidRPr="006805D6">
        <w:t> The credit bank table provides robust filtering options to help you quickly find the information you need.</w:t>
      </w:r>
    </w:p>
    <w:p w14:paraId="70BE7CB0" w14:textId="77777777" w:rsidR="009269AB" w:rsidRPr="006805D6" w:rsidRDefault="009269AB" w:rsidP="009269AB">
      <w:pPr>
        <w:numPr>
          <w:ilvl w:val="1"/>
          <w:numId w:val="13"/>
        </w:numPr>
      </w:pPr>
      <w:r w:rsidRPr="006805D6">
        <w:rPr>
          <w:b/>
          <w:bCs/>
        </w:rPr>
        <w:t>Quick Filters:</w:t>
      </w:r>
      <w:r w:rsidRPr="006805D6">
        <w:t> Use pre-defined filters to quickly narrow down the displayed data based on common criteria.</w:t>
      </w:r>
    </w:p>
    <w:p w14:paraId="56C26BD7" w14:textId="77777777" w:rsidR="009269AB" w:rsidRDefault="009269AB" w:rsidP="009269AB">
      <w:pPr>
        <w:numPr>
          <w:ilvl w:val="1"/>
          <w:numId w:val="13"/>
        </w:numPr>
      </w:pPr>
      <w:r w:rsidRPr="006805D6">
        <w:rPr>
          <w:b/>
          <w:bCs/>
        </w:rPr>
        <w:t>Advanced Filters:</w:t>
      </w:r>
      <w:r w:rsidRPr="006805D6">
        <w:t> Create custom filters using multiple criteria to perform more specific searches.</w:t>
      </w:r>
    </w:p>
    <w:p w14:paraId="411AB61D" w14:textId="2A6AEF20" w:rsidR="005E2630" w:rsidRDefault="005E2630" w:rsidP="005E2630">
      <w:pPr>
        <w:ind w:left="1440"/>
      </w:pPr>
      <w:r w:rsidRPr="005E2630">
        <w:rPr>
          <w:noProof/>
        </w:rPr>
        <w:drawing>
          <wp:inline distT="0" distB="0" distL="0" distR="0" wp14:anchorId="63646AAD" wp14:editId="2645F8DD">
            <wp:extent cx="4608214" cy="2158238"/>
            <wp:effectExtent l="0" t="0" r="1905" b="0"/>
            <wp:docPr id="2079195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95773" name=""/>
                    <pic:cNvPicPr/>
                  </pic:nvPicPr>
                  <pic:blipFill rotWithShape="1">
                    <a:blip r:embed="rId13"/>
                    <a:srcRect l="4265"/>
                    <a:stretch/>
                  </pic:blipFill>
                  <pic:spPr bwMode="auto">
                    <a:xfrm>
                      <a:off x="0" y="0"/>
                      <a:ext cx="4618596" cy="216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54E4A" w14:textId="77777777" w:rsidR="00A0570C" w:rsidRPr="006805D6" w:rsidRDefault="00A0570C" w:rsidP="005E2630">
      <w:pPr>
        <w:ind w:left="1440"/>
      </w:pPr>
    </w:p>
    <w:p w14:paraId="7BAFF357" w14:textId="77777777" w:rsidR="009269AB" w:rsidRPr="006805D6" w:rsidRDefault="009269AB" w:rsidP="009269AB">
      <w:pPr>
        <w:numPr>
          <w:ilvl w:val="0"/>
          <w:numId w:val="13"/>
        </w:numPr>
      </w:pPr>
      <w:r w:rsidRPr="006805D6">
        <w:rPr>
          <w:b/>
          <w:bCs/>
        </w:rPr>
        <w:t>Customizing Column Visibility:</w:t>
      </w:r>
      <w:r w:rsidRPr="006805D6">
        <w:t> You can customize the columns displayed in the table to focus on the information that is most relevant to you.</w:t>
      </w:r>
    </w:p>
    <w:p w14:paraId="28174173" w14:textId="77777777" w:rsidR="009269AB" w:rsidRPr="006805D6" w:rsidRDefault="009269AB" w:rsidP="009269AB">
      <w:pPr>
        <w:numPr>
          <w:ilvl w:val="1"/>
          <w:numId w:val="13"/>
        </w:numPr>
      </w:pPr>
      <w:r w:rsidRPr="006805D6">
        <w:rPr>
          <w:b/>
          <w:bCs/>
        </w:rPr>
        <w:t>Accessing Column Customization:</w:t>
      </w:r>
      <w:r w:rsidRPr="006805D6">
        <w:t> Click the "fields" button to open the column customization menu.</w:t>
      </w:r>
    </w:p>
    <w:p w14:paraId="1F36A189" w14:textId="77777777" w:rsidR="009269AB" w:rsidRDefault="009269AB" w:rsidP="009269AB">
      <w:pPr>
        <w:numPr>
          <w:ilvl w:val="1"/>
          <w:numId w:val="13"/>
        </w:numPr>
      </w:pPr>
      <w:r w:rsidRPr="006805D6">
        <w:rPr>
          <w:b/>
          <w:bCs/>
        </w:rPr>
        <w:t>Selecting Visible Columns:</w:t>
      </w:r>
      <w:r w:rsidRPr="006805D6">
        <w:t> Choose which columns you want to be visible in the table.</w:t>
      </w:r>
    </w:p>
    <w:p w14:paraId="6BF6D38F" w14:textId="74B21A95" w:rsidR="005E2630" w:rsidRDefault="005E2630" w:rsidP="005E2630">
      <w:pPr>
        <w:ind w:left="1440"/>
      </w:pPr>
      <w:r w:rsidRPr="005E2630">
        <w:rPr>
          <w:noProof/>
        </w:rPr>
        <w:drawing>
          <wp:inline distT="0" distB="0" distL="0" distR="0" wp14:anchorId="6FB2BA57" wp14:editId="1BDBBE39">
            <wp:extent cx="4780230" cy="2005621"/>
            <wp:effectExtent l="0" t="0" r="1905" b="0"/>
            <wp:docPr id="1758480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8033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5677" cy="200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8FB5" w14:textId="77777777" w:rsidR="005E2630" w:rsidRPr="006805D6" w:rsidRDefault="005E2630" w:rsidP="005E2630">
      <w:pPr>
        <w:ind w:left="1440"/>
      </w:pPr>
    </w:p>
    <w:p w14:paraId="0DDFC68F" w14:textId="77777777" w:rsidR="009269AB" w:rsidRDefault="009269AB" w:rsidP="009269AB">
      <w:pPr>
        <w:numPr>
          <w:ilvl w:val="1"/>
          <w:numId w:val="13"/>
        </w:numPr>
      </w:pPr>
      <w:r w:rsidRPr="006805D6">
        <w:rPr>
          <w:b/>
          <w:bCs/>
        </w:rPr>
        <w:t>Reorganizing Columns:</w:t>
      </w:r>
      <w:r w:rsidRPr="006805D6">
        <w:t> Drag and drop columns to change their order in the table display.</w:t>
      </w:r>
    </w:p>
    <w:p w14:paraId="14D4A75E" w14:textId="1CE15FF0" w:rsidR="005E2630" w:rsidRDefault="005E2630" w:rsidP="005E2630">
      <w:pPr>
        <w:ind w:left="1440"/>
      </w:pPr>
      <w:r w:rsidRPr="005E2630">
        <w:rPr>
          <w:noProof/>
        </w:rPr>
        <w:lastRenderedPageBreak/>
        <w:drawing>
          <wp:inline distT="0" distB="0" distL="0" distR="0" wp14:anchorId="0D2A4B43" wp14:editId="205EE81D">
            <wp:extent cx="4789283" cy="2045500"/>
            <wp:effectExtent l="0" t="0" r="0" b="0"/>
            <wp:docPr id="3853375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753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8238" cy="20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B6F8" w14:textId="77777777" w:rsidR="00C54FF0" w:rsidRPr="006805D6" w:rsidRDefault="00C54FF0" w:rsidP="005E2630">
      <w:pPr>
        <w:ind w:left="1440"/>
      </w:pPr>
    </w:p>
    <w:p w14:paraId="5CD121DB" w14:textId="77777777" w:rsidR="009269AB" w:rsidRPr="006805D6" w:rsidRDefault="009269AB" w:rsidP="009269AB">
      <w:pPr>
        <w:numPr>
          <w:ilvl w:val="0"/>
          <w:numId w:val="13"/>
        </w:numPr>
      </w:pPr>
      <w:r w:rsidRPr="006805D6">
        <w:rPr>
          <w:b/>
          <w:bCs/>
        </w:rPr>
        <w:t>Downloading Data:</w:t>
      </w:r>
      <w:r w:rsidRPr="006805D6">
        <w:t> The credit bank table supports exporting the displayed data for offline analysis or reporting.</w:t>
      </w:r>
    </w:p>
    <w:p w14:paraId="5E0CBA74" w14:textId="77777777" w:rsidR="009269AB" w:rsidRDefault="009269AB" w:rsidP="009269AB">
      <w:pPr>
        <w:numPr>
          <w:ilvl w:val="1"/>
          <w:numId w:val="13"/>
        </w:numPr>
      </w:pPr>
      <w:r w:rsidRPr="006805D6">
        <w:t>Click the download button to export the entire credit bank data into a common file format (e.g., CSV, Excel).</w:t>
      </w:r>
    </w:p>
    <w:p w14:paraId="04097D98" w14:textId="77777777" w:rsidR="00A0570C" w:rsidRDefault="00A0570C" w:rsidP="00A0570C">
      <w:pPr>
        <w:ind w:left="1440"/>
      </w:pPr>
    </w:p>
    <w:p w14:paraId="325953E4" w14:textId="4A5644CB" w:rsidR="003832D9" w:rsidRDefault="003832D9" w:rsidP="003832D9">
      <w:pPr>
        <w:ind w:left="1440"/>
      </w:pPr>
      <w:r w:rsidRPr="003832D9">
        <w:rPr>
          <w:noProof/>
        </w:rPr>
        <w:drawing>
          <wp:inline distT="0" distB="0" distL="0" distR="0" wp14:anchorId="6A99F3F7" wp14:editId="12F5EFEA">
            <wp:extent cx="4988459" cy="2129463"/>
            <wp:effectExtent l="0" t="0" r="3175" b="4445"/>
            <wp:docPr id="4317898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8989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6772" cy="213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76EC" w14:textId="77777777" w:rsidR="00C54FF0" w:rsidRPr="006805D6" w:rsidRDefault="00C54FF0" w:rsidP="003832D9">
      <w:pPr>
        <w:ind w:left="1440"/>
      </w:pPr>
    </w:p>
    <w:p w14:paraId="2959E390" w14:textId="77777777" w:rsidR="009269AB" w:rsidRPr="006805D6" w:rsidRDefault="009269AB" w:rsidP="009269AB">
      <w:pPr>
        <w:numPr>
          <w:ilvl w:val="0"/>
          <w:numId w:val="13"/>
        </w:numPr>
      </w:pPr>
      <w:r w:rsidRPr="006805D6">
        <w:rPr>
          <w:b/>
          <w:bCs/>
        </w:rPr>
        <w:t>Searching for Specific Credits:</w:t>
      </w:r>
      <w:r w:rsidRPr="006805D6">
        <w:t> Use the search bar to quickly locate specific credits within the credit bank.</w:t>
      </w:r>
    </w:p>
    <w:p w14:paraId="787BC29B" w14:textId="77777777" w:rsidR="009269AB" w:rsidRPr="006805D6" w:rsidRDefault="009269AB" w:rsidP="009269AB">
      <w:pPr>
        <w:numPr>
          <w:ilvl w:val="1"/>
          <w:numId w:val="13"/>
        </w:numPr>
      </w:pPr>
      <w:r w:rsidRPr="006805D6">
        <w:t>Enter keywords related to the credit you are looking for, such as:</w:t>
      </w:r>
    </w:p>
    <w:p w14:paraId="3EE5B676" w14:textId="77777777" w:rsidR="009269AB" w:rsidRPr="006805D6" w:rsidRDefault="009269AB" w:rsidP="009269AB">
      <w:pPr>
        <w:numPr>
          <w:ilvl w:val="2"/>
          <w:numId w:val="13"/>
        </w:numPr>
      </w:pPr>
      <w:r w:rsidRPr="006805D6">
        <w:t>Description</w:t>
      </w:r>
    </w:p>
    <w:p w14:paraId="0D9593FA" w14:textId="77777777" w:rsidR="009269AB" w:rsidRPr="006805D6" w:rsidRDefault="009269AB" w:rsidP="009269AB">
      <w:pPr>
        <w:numPr>
          <w:ilvl w:val="2"/>
          <w:numId w:val="13"/>
        </w:numPr>
      </w:pPr>
      <w:r w:rsidRPr="006805D6">
        <w:t>Serial number</w:t>
      </w:r>
    </w:p>
    <w:p w14:paraId="3E5A9FC2" w14:textId="77777777" w:rsidR="009269AB" w:rsidRDefault="009269AB" w:rsidP="009269AB">
      <w:pPr>
        <w:numPr>
          <w:ilvl w:val="2"/>
          <w:numId w:val="13"/>
        </w:numPr>
      </w:pPr>
      <w:r w:rsidRPr="006805D6">
        <w:t>Other relevant details</w:t>
      </w:r>
    </w:p>
    <w:p w14:paraId="5B05C039" w14:textId="61D369D8" w:rsidR="003832D9" w:rsidRPr="006805D6" w:rsidRDefault="003832D9" w:rsidP="003832D9">
      <w:pPr>
        <w:ind w:left="1440"/>
      </w:pPr>
      <w:r w:rsidRPr="003832D9">
        <w:rPr>
          <w:noProof/>
        </w:rPr>
        <w:lastRenderedPageBreak/>
        <w:drawing>
          <wp:inline distT="0" distB="0" distL="0" distR="0" wp14:anchorId="069065EE" wp14:editId="25FBC71E">
            <wp:extent cx="5196689" cy="1866571"/>
            <wp:effectExtent l="0" t="0" r="4445" b="635"/>
            <wp:docPr id="20668240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2407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2951" cy="18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0832" w14:textId="77777777" w:rsidR="009269AB" w:rsidRPr="009269AB" w:rsidRDefault="009269AB" w:rsidP="009269AB"/>
    <w:sectPr w:rsidR="009269AB" w:rsidRPr="009269AB" w:rsidSect="002A11EB"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37D9B" w14:textId="77777777" w:rsidR="00D24BD2" w:rsidRDefault="00D24BD2" w:rsidP="0041504C">
      <w:r>
        <w:separator/>
      </w:r>
    </w:p>
  </w:endnote>
  <w:endnote w:type="continuationSeparator" w:id="0">
    <w:p w14:paraId="027AA2DB" w14:textId="77777777" w:rsidR="00D24BD2" w:rsidRDefault="00D24BD2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DEAA6" w14:textId="77777777" w:rsidR="00D24BD2" w:rsidRDefault="00D24BD2" w:rsidP="0041504C">
      <w:r>
        <w:separator/>
      </w:r>
    </w:p>
  </w:footnote>
  <w:footnote w:type="continuationSeparator" w:id="0">
    <w:p w14:paraId="245A3A13" w14:textId="77777777" w:rsidR="00D24BD2" w:rsidRDefault="00D24BD2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12694"/>
    <w:multiLevelType w:val="multilevel"/>
    <w:tmpl w:val="DFD6B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B05683"/>
    <w:multiLevelType w:val="multilevel"/>
    <w:tmpl w:val="890E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4358A8"/>
    <w:multiLevelType w:val="multilevel"/>
    <w:tmpl w:val="6A6C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5"/>
  </w:num>
  <w:num w:numId="2" w16cid:durableId="1359313818">
    <w:abstractNumId w:val="11"/>
  </w:num>
  <w:num w:numId="3" w16cid:durableId="1540706208">
    <w:abstractNumId w:val="7"/>
  </w:num>
  <w:num w:numId="4" w16cid:durableId="822115570">
    <w:abstractNumId w:val="3"/>
  </w:num>
  <w:num w:numId="5" w16cid:durableId="1564214489">
    <w:abstractNumId w:val="9"/>
  </w:num>
  <w:num w:numId="6" w16cid:durableId="1375083139">
    <w:abstractNumId w:val="2"/>
  </w:num>
  <w:num w:numId="7" w16cid:durableId="1507133828">
    <w:abstractNumId w:val="10"/>
  </w:num>
  <w:num w:numId="8" w16cid:durableId="890535814">
    <w:abstractNumId w:val="0"/>
  </w:num>
  <w:num w:numId="9" w16cid:durableId="2122265265">
    <w:abstractNumId w:val="12"/>
  </w:num>
  <w:num w:numId="10" w16cid:durableId="1365398493">
    <w:abstractNumId w:val="1"/>
  </w:num>
  <w:num w:numId="11" w16cid:durableId="1317302533">
    <w:abstractNumId w:val="8"/>
  </w:num>
  <w:num w:numId="12" w16cid:durableId="1241791672">
    <w:abstractNumId w:val="6"/>
  </w:num>
  <w:num w:numId="13" w16cid:durableId="4860895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103E6"/>
    <w:rsid w:val="0003166A"/>
    <w:rsid w:val="00040B1F"/>
    <w:rsid w:val="00077769"/>
    <w:rsid w:val="000A2233"/>
    <w:rsid w:val="000D05ED"/>
    <w:rsid w:val="0018371E"/>
    <w:rsid w:val="0018604A"/>
    <w:rsid w:val="001A09D8"/>
    <w:rsid w:val="00287EF5"/>
    <w:rsid w:val="002A11EB"/>
    <w:rsid w:val="002D2AF0"/>
    <w:rsid w:val="002F6C45"/>
    <w:rsid w:val="00334A88"/>
    <w:rsid w:val="00372E77"/>
    <w:rsid w:val="003832D9"/>
    <w:rsid w:val="0041504C"/>
    <w:rsid w:val="00420C6F"/>
    <w:rsid w:val="004454F1"/>
    <w:rsid w:val="004719FD"/>
    <w:rsid w:val="00471CB6"/>
    <w:rsid w:val="004B1E9C"/>
    <w:rsid w:val="004E7FBA"/>
    <w:rsid w:val="004F7675"/>
    <w:rsid w:val="0057211F"/>
    <w:rsid w:val="00590432"/>
    <w:rsid w:val="005D75A9"/>
    <w:rsid w:val="005E2630"/>
    <w:rsid w:val="005E37C8"/>
    <w:rsid w:val="006264C2"/>
    <w:rsid w:val="00774D06"/>
    <w:rsid w:val="00780AE3"/>
    <w:rsid w:val="007B065E"/>
    <w:rsid w:val="007B44D4"/>
    <w:rsid w:val="007C6A83"/>
    <w:rsid w:val="00853407"/>
    <w:rsid w:val="009257FE"/>
    <w:rsid w:val="009269AB"/>
    <w:rsid w:val="00A0570C"/>
    <w:rsid w:val="00A37501"/>
    <w:rsid w:val="00A4179E"/>
    <w:rsid w:val="00AB2FE8"/>
    <w:rsid w:val="00B1309B"/>
    <w:rsid w:val="00B13AAF"/>
    <w:rsid w:val="00B2599F"/>
    <w:rsid w:val="00B27174"/>
    <w:rsid w:val="00BD371E"/>
    <w:rsid w:val="00C54FF0"/>
    <w:rsid w:val="00C678EB"/>
    <w:rsid w:val="00CA0171"/>
    <w:rsid w:val="00CD6030"/>
    <w:rsid w:val="00CE08C3"/>
    <w:rsid w:val="00D0112F"/>
    <w:rsid w:val="00D24BD2"/>
    <w:rsid w:val="00D40952"/>
    <w:rsid w:val="00D7728A"/>
    <w:rsid w:val="00DA51F9"/>
    <w:rsid w:val="00DC1247"/>
    <w:rsid w:val="00DF10C5"/>
    <w:rsid w:val="00E12153"/>
    <w:rsid w:val="00F24075"/>
    <w:rsid w:val="00F83532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FEF252-9446-4FD4-8CD9-BD1FF50F9D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E1F2-4C11-4506-95D5-CD0B608BC2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E6D4EB-5175-43A0-BBD9-9BB51BC476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8</cp:revision>
  <cp:lastPrinted>2025-11-14T15:55:00Z</cp:lastPrinted>
  <dcterms:created xsi:type="dcterms:W3CDTF">2025-10-16T15:58:00Z</dcterms:created>
  <dcterms:modified xsi:type="dcterms:W3CDTF">2025-11-14T16:01:00Z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